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400"/>
      </w:pPr>
      <w:r>
        <w:rPr>
          <w:sz w:val="24"/>
          <w:szCs w:val="24"/>
        </w:rPr>
        <w:t xml:space="preserve"/>
      </w:r>
    </w:p>
    <w:p>
      <w:pPr>
        <w:spacing w:after="200"/>
        <w:jc w:val="center"/>
      </w:pPr>
      <w:r>
        <w:rPr>
          <w:rFonts w:ascii="Arial" w:cs="Arial" w:eastAsia="Arial" w:hAnsi="Arial"/>
          <w:b/>
          <w:bCs/>
          <w:caps/>
          <w:color w:val="C9A84C"/>
          <w:sz w:val="22"/>
          <w:szCs w:val="22"/>
        </w:rPr>
        <w:t xml:space="preserve">GURU LEGAL PRESENTS</w:t>
      </w:r>
    </w:p>
    <w:p>
      <w:pPr>
        <w:shd w:fill="1A2B5E" w:val="clear"/>
        <w:spacing w:before="200" w:after="200"/>
        <w:ind w:left="0" w:right="0"/>
        <w:jc w:val="center"/>
      </w:pPr>
      <w:r>
        <w:rPr>
          <w:rFonts w:ascii="Arial" w:cs="Arial" w:eastAsia="Arial" w:hAnsi="Arial"/>
          <w:b/>
          <w:bCs/>
          <w:color w:val="FFFFFF"/>
          <w:sz w:val="52"/>
          <w:szCs w:val="52"/>
        </w:rPr>
        <w:t xml:space="preserve">Career Paths After Law School</w:t>
      </w:r>
    </w:p>
    <w:p>
      <w:pPr>
        <w:spacing w:before="200" w:after="300"/>
        <w:jc w:val="center"/>
      </w:pPr>
      <w:r>
        <w:rPr>
          <w:rFonts w:ascii="Arial" w:cs="Arial" w:eastAsia="Arial" w:hAnsi="Arial"/>
          <w:b/>
          <w:bCs/>
          <w:color w:val="1A2B5E"/>
          <w:sz w:val="28"/>
          <w:szCs w:val="28"/>
        </w:rPr>
        <w:t xml:space="preserve">Litigation vs. Corporate vs. Academia vs. Government</w:t>
      </w:r>
    </w:p>
    <w:p>
      <w:pPr>
        <w:spacing w:after="400"/>
        <w:jc w:val="center"/>
      </w:pPr>
      <w:r>
        <w:rPr>
          <w:rFonts w:ascii="Arial" w:cs="Arial" w:eastAsia="Arial" w:hAnsi="Arial"/>
          <w:i/>
          <w:iCs/>
          <w:color w:val="1A1A1A"/>
          <w:sz w:val="22"/>
          <w:szCs w:val="22"/>
        </w:rPr>
        <w:t xml:space="preserve">A comprehensive guide to help law students choose their ideal career path</w:t>
      </w:r>
    </w:p>
    <w:p>
      <w:pPr>
        <w:shd w:fill="C9A84C" w:val="clear"/>
        <w:spacing w:before="200" w:after="200"/>
        <w:jc w:val="center"/>
      </w:pPr>
      <w:r>
        <w:rPr>
          <w:rFonts w:ascii="Arial" w:cs="Arial" w:eastAsia="Arial" w:hAnsi="Arial"/>
          <w:b/>
          <w:bCs/>
          <w:color w:val="FFFFFF"/>
          <w:sz w:val="20"/>
          <w:szCs w:val="20"/>
        </w:rPr>
        <w:t xml:space="preserve">FREE DOWNLOADABLE RESOURCE</w:t>
      </w:r>
    </w:p>
    <w:p>
      <w:r>
        <w:br w:type="page"/>
      </w:r>
    </w:p>
    <w:p>
      <w:pPr>
        <w:shd w:fill="1A2B5E" w:val="clear"/>
        <w:spacing w:before="300" w:after="200"/>
        <w:ind w:left="160" w:right="160"/>
      </w:pPr>
      <w:r>
        <w:rPr>
          <w:rFonts w:ascii="Arial" w:cs="Arial" w:eastAsia="Arial" w:hAnsi="Arial"/>
          <w:b/>
          <w:bCs/>
          <w:color w:val="FFFFFF"/>
          <w:sz w:val="28"/>
          <w:szCs w:val="28"/>
        </w:rPr>
        <w:t xml:space="preserve">OVERVIEW</w:t>
      </w:r>
    </w:p>
    <w:p>
      <w:pPr>
        <w:spacing w:after="80"/>
      </w:pPr>
      <w:r>
        <w:rPr>
          <w:sz w:val="12"/>
          <w:szCs w:val="12"/>
        </w:rPr>
        <w:t xml:space="preserve"/>
      </w:r>
    </w:p>
    <w:p>
      <w:pPr>
        <w:spacing w:after="120"/>
      </w:pPr>
      <w:r>
        <w:rPr>
          <w:rFonts w:ascii="Arial" w:cs="Arial" w:eastAsia="Arial" w:hAnsi="Arial"/>
          <w:color w:val="1A1A1A"/>
          <w:sz w:val="22"/>
          <w:szCs w:val="22"/>
        </w:rPr>
        <w:t xml:space="preserve">Law school opens doors to a wide variety of career paths. This guide breaks down the four major career tracks available to law graduates in India, helping you make an informed decision based on your strengths, interests, and long-term goals.</w:t>
      </w:r>
    </w:p>
    <w:p>
      <w:pPr>
        <w:spacing w:after="160"/>
      </w:pPr>
      <w:r>
        <w:rPr>
          <w:sz w:val="12"/>
          <w:szCs w:val="12"/>
        </w:rPr>
        <w:t xml:space="preserve"/>
      </w:r>
    </w:p>
    <w:p>
      <w:pPr>
        <w:shd w:fill="1A2B5E" w:val="clear"/>
        <w:spacing w:before="300" w:after="200"/>
        <w:ind w:left="160" w:right="160"/>
      </w:pPr>
      <w:r>
        <w:rPr>
          <w:rFonts w:ascii="Arial" w:cs="Arial" w:eastAsia="Arial" w:hAnsi="Arial"/>
          <w:b/>
          <w:bCs/>
          <w:color w:val="FFFFFF"/>
          <w:sz w:val="28"/>
          <w:szCs w:val="28"/>
        </w:rPr>
        <w:t xml:space="preserve">1. LITIGATION</w:t>
      </w:r>
    </w:p>
    <w:p>
      <w:pPr>
        <w:spacing w:after="80"/>
      </w:pPr>
      <w:r>
        <w:rPr>
          <w:sz w:val="12"/>
          <w:szCs w:val="12"/>
        </w:rPr>
        <w:t xml:space="preserve"/>
      </w:r>
    </w:p>
    <w:p>
      <w:pPr>
        <w:pBdr>
          <w:bottom w:val="single" w:color="C9A84C" w:sz="2"/>
        </w:pBdr>
        <w:spacing w:before="240" w:after="120"/>
      </w:pPr>
      <w:r>
        <w:rPr>
          <w:rFonts w:ascii="Arial" w:cs="Arial" w:eastAsia="Arial" w:hAnsi="Arial"/>
          <w:b/>
          <w:bCs/>
          <w:color w:val="1A2B5E"/>
          <w:sz w:val="24"/>
          <w:szCs w:val="24"/>
        </w:rPr>
        <w:t xml:space="preserve">What It Involves</w:t>
      </w:r>
    </w:p>
    <w:p>
      <w:pPr>
        <w:spacing w:after="120"/>
      </w:pPr>
      <w:r>
        <w:rPr>
          <w:rFonts w:ascii="Arial" w:cs="Arial" w:eastAsia="Arial" w:hAnsi="Arial"/>
          <w:color w:val="1A1A1A"/>
          <w:sz w:val="22"/>
          <w:szCs w:val="22"/>
        </w:rPr>
        <w:t xml:space="preserve">Litigation is the practice of representing clients before courts and tribunals. As a litigator, you appear before district courts, High Courts, and the Supreme Court of India. You handle civil, criminal, constitutional, family, commercial, and other matters depending on your specialisation.</w:t>
      </w:r>
    </w:p>
    <w:p>
      <w:pPr>
        <w:spacing w:after="80"/>
      </w:pPr>
      <w:r>
        <w:rPr>
          <w:sz w:val="12"/>
          <w:szCs w:val="12"/>
        </w:rPr>
        <w:t xml:space="preserve"/>
      </w:r>
    </w:p>
    <w:p>
      <w:pPr>
        <w:pBdr>
          <w:bottom w:val="single" w:color="C9A84C" w:sz="2"/>
        </w:pBdr>
        <w:spacing w:before="240" w:after="120"/>
      </w:pPr>
      <w:r>
        <w:rPr>
          <w:rFonts w:ascii="Arial" w:cs="Arial" w:eastAsia="Arial" w:hAnsi="Arial"/>
          <w:b/>
          <w:bCs/>
          <w:color w:val="1A2B5E"/>
          <w:sz w:val="24"/>
          <w:szCs w:val="24"/>
        </w:rPr>
        <w:t xml:space="preserve">Key Skills Required</w:t>
      </w:r>
    </w:p>
    <w:p>
      <w:pPr>
        <w:pStyle w:val="ListParagraph"/>
        <w:numPr>
          <w:ilvl w:val="0"/>
          <w:numId w:val="2"/>
        </w:numPr>
        <w:spacing w:after="80"/>
      </w:pPr>
      <w:r>
        <w:rPr>
          <w:rFonts w:ascii="Arial" w:cs="Arial" w:eastAsia="Arial" w:hAnsi="Arial"/>
          <w:color w:val="1A1A1A"/>
          <w:sz w:val="22"/>
          <w:szCs w:val="22"/>
        </w:rPr>
        <w:t xml:space="preserve">Strong oral and written advocacy</w:t>
      </w:r>
    </w:p>
    <w:p>
      <w:pPr>
        <w:pStyle w:val="ListParagraph"/>
        <w:numPr>
          <w:ilvl w:val="0"/>
          <w:numId w:val="2"/>
        </w:numPr>
        <w:spacing w:after="80"/>
      </w:pPr>
      <w:r>
        <w:rPr>
          <w:rFonts w:ascii="Arial" w:cs="Arial" w:eastAsia="Arial" w:hAnsi="Arial"/>
          <w:color w:val="1A1A1A"/>
          <w:sz w:val="22"/>
          <w:szCs w:val="22"/>
        </w:rPr>
        <w:t xml:space="preserve">Ability to research case law and statutes quickly</w:t>
      </w:r>
    </w:p>
    <w:p>
      <w:pPr>
        <w:pStyle w:val="ListParagraph"/>
        <w:numPr>
          <w:ilvl w:val="0"/>
          <w:numId w:val="2"/>
        </w:numPr>
        <w:spacing w:after="80"/>
      </w:pPr>
      <w:r>
        <w:rPr>
          <w:rFonts w:ascii="Arial" w:cs="Arial" w:eastAsia="Arial" w:hAnsi="Arial"/>
          <w:color w:val="1A1A1A"/>
          <w:sz w:val="22"/>
          <w:szCs w:val="22"/>
        </w:rPr>
        <w:t xml:space="preserve">Confidence in public speaking and cross-examination</w:t>
      </w:r>
    </w:p>
    <w:p>
      <w:pPr>
        <w:pStyle w:val="ListParagraph"/>
        <w:numPr>
          <w:ilvl w:val="0"/>
          <w:numId w:val="2"/>
        </w:numPr>
        <w:spacing w:after="80"/>
      </w:pPr>
      <w:r>
        <w:rPr>
          <w:rFonts w:ascii="Arial" w:cs="Arial" w:eastAsia="Arial" w:hAnsi="Arial"/>
          <w:color w:val="1A1A1A"/>
          <w:sz w:val="22"/>
          <w:szCs w:val="22"/>
        </w:rPr>
        <w:t xml:space="preserve">Client management and procedural knowledge</w:t>
      </w:r>
    </w:p>
    <w:p>
      <w:pPr>
        <w:pStyle w:val="ListParagraph"/>
        <w:numPr>
          <w:ilvl w:val="0"/>
          <w:numId w:val="2"/>
        </w:numPr>
        <w:spacing w:after="80"/>
      </w:pPr>
      <w:r>
        <w:rPr>
          <w:rFonts w:ascii="Arial" w:cs="Arial" w:eastAsia="Arial" w:hAnsi="Arial"/>
          <w:color w:val="1A1A1A"/>
          <w:sz w:val="22"/>
          <w:szCs w:val="22"/>
        </w:rPr>
        <w:t xml:space="preserve">Patience and resilience — results take time</w:t>
      </w:r>
    </w:p>
    <w:p>
      <w:pPr>
        <w:spacing w:after="80"/>
      </w:pPr>
      <w:r>
        <w:rPr>
          <w:sz w:val="12"/>
          <w:szCs w:val="12"/>
        </w:rPr>
        <w:t xml:space="preserve"/>
      </w:r>
    </w:p>
    <w:p>
      <w:pPr>
        <w:pBdr>
          <w:bottom w:val="single" w:color="C9A84C" w:sz="2"/>
        </w:pBdr>
        <w:spacing w:before="240" w:after="120"/>
      </w:pPr>
      <w:r>
        <w:rPr>
          <w:rFonts w:ascii="Arial" w:cs="Arial" w:eastAsia="Arial" w:hAnsi="Arial"/>
          <w:b/>
          <w:bCs/>
          <w:color w:val="1A2B5E"/>
          <w:sz w:val="24"/>
          <w:szCs w:val="24"/>
        </w:rPr>
        <w:t xml:space="preserve">Career Progression</w:t>
      </w:r>
    </w:p>
    <w:p>
      <w:pPr>
        <w:pStyle w:val="ListParagraph"/>
        <w:numPr>
          <w:ilvl w:val="0"/>
          <w:numId w:val="3"/>
        </w:numPr>
        <w:spacing w:after="80"/>
      </w:pPr>
      <w:r>
        <w:rPr>
          <w:rFonts w:ascii="Arial" w:cs="Arial" w:eastAsia="Arial" w:hAnsi="Arial"/>
          <w:color w:val="1A1A1A"/>
          <w:sz w:val="22"/>
          <w:szCs w:val="22"/>
        </w:rPr>
        <w:t xml:space="preserve">Year 1–3: Junior under a Senior Advocate / Advocate</w:t>
      </w:r>
    </w:p>
    <w:p>
      <w:pPr>
        <w:pStyle w:val="ListParagraph"/>
        <w:numPr>
          <w:ilvl w:val="0"/>
          <w:numId w:val="3"/>
        </w:numPr>
        <w:spacing w:after="80"/>
      </w:pPr>
      <w:r>
        <w:rPr>
          <w:rFonts w:ascii="Arial" w:cs="Arial" w:eastAsia="Arial" w:hAnsi="Arial"/>
          <w:color w:val="1A1A1A"/>
          <w:sz w:val="22"/>
          <w:szCs w:val="22"/>
        </w:rPr>
        <w:t xml:space="preserve">Year 3–7: Independent practice, building client base</w:t>
      </w:r>
    </w:p>
    <w:p>
      <w:pPr>
        <w:pStyle w:val="ListParagraph"/>
        <w:numPr>
          <w:ilvl w:val="0"/>
          <w:numId w:val="3"/>
        </w:numPr>
        <w:spacing w:after="80"/>
      </w:pPr>
      <w:r>
        <w:rPr>
          <w:rFonts w:ascii="Arial" w:cs="Arial" w:eastAsia="Arial" w:hAnsi="Arial"/>
          <w:color w:val="1A1A1A"/>
          <w:sz w:val="22"/>
          <w:szCs w:val="22"/>
        </w:rPr>
        <w:t xml:space="preserve">Year 7+: Senior practice, potential for Senior Advocate designation</w:t>
      </w:r>
    </w:p>
    <w:p>
      <w:pPr>
        <w:pStyle w:val="ListParagraph"/>
        <w:numPr>
          <w:ilvl w:val="0"/>
          <w:numId w:val="3"/>
        </w:numPr>
        <w:spacing w:after="80"/>
      </w:pPr>
      <w:r>
        <w:rPr>
          <w:rFonts w:ascii="Arial" w:cs="Arial" w:eastAsia="Arial" w:hAnsi="Arial"/>
          <w:color w:val="1A1A1A"/>
          <w:sz w:val="22"/>
          <w:szCs w:val="22"/>
        </w:rPr>
        <w:t xml:space="preserve">Long-term: Judgeship or Appointment to the Bar</w:t>
      </w:r>
    </w:p>
    <w:p>
      <w:pPr>
        <w:spacing w:after="80"/>
      </w:pPr>
      <w:r>
        <w:rPr>
          <w:sz w:val="12"/>
          <w:szCs w:val="12"/>
        </w:rPr>
        <w:t xml:space="preserve"/>
      </w:r>
    </w:p>
    <w:tbl>
      <w:tblPr>
        <w:tblW w:type="dxa" w:w="9746"/>
        <w:tblBorders>
          <w:top w:val="single" w:color="auto" w:sz="4"/>
          <w:left w:val="single" w:color="auto" w:sz="4"/>
          <w:bottom w:val="single" w:color="auto" w:sz="4"/>
          <w:right w:val="single" w:color="auto" w:sz="4"/>
          <w:insideH w:val="single" w:color="auto" w:sz="4"/>
          <w:insideV w:val="single" w:color="auto" w:sz="4"/>
        </w:tblBorders>
      </w:tblPr>
      <w:tblGrid>
        <w:gridCol w:w="9746"/>
      </w:tblGrid>
      <w:tr>
        <w:tc>
          <w:tcPr>
            <w:tcW w:type="dxa" w:w="9746"/>
            <w:tcBorders>
              <w:top w:val="single" w:color="C9A84C" w:sz="4"/>
              <w:left w:val="single" w:color="C9A84C" w:sz="12"/>
              <w:bottom w:val="single" w:color="C9A84C" w:sz="4"/>
              <w:right w:val="none" w:color="FFFFFF" w:sz="0"/>
            </w:tcBorders>
            <w:shd w:fill="F5E6C3" w:val="clear"/>
            <w:tcMar>
              <w:top w:type="dxa" w:w="120"/>
              <w:left w:type="dxa" w:w="200"/>
              <w:bottom w:type="dxa" w:w="120"/>
              <w:right w:type="dxa" w:w="200"/>
            </w:tcMar>
          </w:tcPr>
          <w:p>
            <w:r>
              <w:rPr>
                <w:rFonts w:ascii="Arial" w:cs="Arial" w:eastAsia="Arial" w:hAnsi="Arial"/>
                <w:b/>
                <w:bCs/>
                <w:color w:val="1A2B5E"/>
                <w:sz w:val="22"/>
                <w:szCs w:val="22"/>
              </w:rPr>
              <w:t xml:space="preserve">💡 Guru Legal Tip:</w:t>
            </w:r>
          </w:p>
          <w:p>
            <w:r>
              <w:rPr>
                <w:rFonts w:ascii="Arial" w:cs="Arial" w:eastAsia="Arial" w:hAnsi="Arial"/>
                <w:color w:val="1A1A1A"/>
                <w:sz w:val="22"/>
                <w:szCs w:val="22"/>
              </w:rPr>
              <w:t xml:space="preserve">Start networking in moot courts and internship chambers early. Your first mentor in litigation can shape your entire career. Consider enrolling in our 1-on-1 Career Counselling session for personalised guidance.</w:t>
            </w:r>
          </w:p>
        </w:tc>
      </w:tr>
    </w:tbl>
    <w:p>
      <w:pPr>
        <w:spacing w:after="200"/>
      </w:pPr>
      <w:r>
        <w:rPr>
          <w:sz w:val="12"/>
          <w:szCs w:val="12"/>
        </w:rPr>
        <w:t xml:space="preserve"/>
      </w:r>
    </w:p>
    <w:p>
      <w:pPr>
        <w:shd w:fill="1A2B5E" w:val="clear"/>
        <w:spacing w:before="300" w:after="200"/>
        <w:ind w:left="160" w:right="160"/>
      </w:pPr>
      <w:r>
        <w:rPr>
          <w:rFonts w:ascii="Arial" w:cs="Arial" w:eastAsia="Arial" w:hAnsi="Arial"/>
          <w:b/>
          <w:bCs/>
          <w:color w:val="FFFFFF"/>
          <w:sz w:val="28"/>
          <w:szCs w:val="28"/>
        </w:rPr>
        <w:t xml:space="preserve">2. CORPORATE LAW</w:t>
      </w:r>
    </w:p>
    <w:p>
      <w:pPr>
        <w:spacing w:after="80"/>
      </w:pPr>
      <w:r>
        <w:rPr>
          <w:sz w:val="12"/>
          <w:szCs w:val="12"/>
        </w:rPr>
        <w:t xml:space="preserve"/>
      </w:r>
    </w:p>
    <w:p>
      <w:pPr>
        <w:pBdr>
          <w:bottom w:val="single" w:color="C9A84C" w:sz="2"/>
        </w:pBdr>
        <w:spacing w:before="240" w:after="120"/>
      </w:pPr>
      <w:r>
        <w:rPr>
          <w:rFonts w:ascii="Arial" w:cs="Arial" w:eastAsia="Arial" w:hAnsi="Arial"/>
          <w:b/>
          <w:bCs/>
          <w:color w:val="1A2B5E"/>
          <w:sz w:val="24"/>
          <w:szCs w:val="24"/>
        </w:rPr>
        <w:t xml:space="preserve">What It Involves</w:t>
      </w:r>
    </w:p>
    <w:p>
      <w:pPr>
        <w:spacing w:after="120"/>
      </w:pPr>
      <w:r>
        <w:rPr>
          <w:rFonts w:ascii="Arial" w:cs="Arial" w:eastAsia="Arial" w:hAnsi="Arial"/>
          <w:color w:val="1A1A1A"/>
          <w:sz w:val="22"/>
          <w:szCs w:val="22"/>
        </w:rPr>
        <w:t xml:space="preserve">Corporate law involves advising businesses on legal matters. You may work at a law firm serving corporate clients or as in-house counsel at a company. Work spans mergers &amp; acquisitions, contracts, compliance, intellectual property, employment law, and securities regulation.</w:t>
      </w:r>
    </w:p>
    <w:p>
      <w:pPr>
        <w:spacing w:after="80"/>
      </w:pPr>
      <w:r>
        <w:rPr>
          <w:sz w:val="12"/>
          <w:szCs w:val="12"/>
        </w:rPr>
        <w:t xml:space="preserve"/>
      </w:r>
    </w:p>
    <w:p>
      <w:pPr>
        <w:pBdr>
          <w:bottom w:val="single" w:color="C9A84C" w:sz="2"/>
        </w:pBdr>
        <w:spacing w:before="240" w:after="120"/>
      </w:pPr>
      <w:r>
        <w:rPr>
          <w:rFonts w:ascii="Arial" w:cs="Arial" w:eastAsia="Arial" w:hAnsi="Arial"/>
          <w:b/>
          <w:bCs/>
          <w:color w:val="1A2B5E"/>
          <w:sz w:val="24"/>
          <w:szCs w:val="24"/>
        </w:rPr>
        <w:t xml:space="preserve">Key Skills Required</w:t>
      </w:r>
    </w:p>
    <w:p>
      <w:pPr>
        <w:pStyle w:val="ListParagraph"/>
        <w:numPr>
          <w:ilvl w:val="0"/>
          <w:numId w:val="2"/>
        </w:numPr>
        <w:spacing w:after="80"/>
      </w:pPr>
      <w:r>
        <w:rPr>
          <w:rFonts w:ascii="Arial" w:cs="Arial" w:eastAsia="Arial" w:hAnsi="Arial"/>
          <w:color w:val="1A1A1A"/>
          <w:sz w:val="22"/>
          <w:szCs w:val="22"/>
        </w:rPr>
        <w:t xml:space="preserve">Excellent drafting and contract negotiation skills</w:t>
      </w:r>
    </w:p>
    <w:p>
      <w:pPr>
        <w:pStyle w:val="ListParagraph"/>
        <w:numPr>
          <w:ilvl w:val="0"/>
          <w:numId w:val="2"/>
        </w:numPr>
        <w:spacing w:after="80"/>
      </w:pPr>
      <w:r>
        <w:rPr>
          <w:rFonts w:ascii="Arial" w:cs="Arial" w:eastAsia="Arial" w:hAnsi="Arial"/>
          <w:color w:val="1A1A1A"/>
          <w:sz w:val="22"/>
          <w:szCs w:val="22"/>
        </w:rPr>
        <w:t xml:space="preserve">Understanding of business, finance, and commerce</w:t>
      </w:r>
    </w:p>
    <w:p>
      <w:pPr>
        <w:pStyle w:val="ListParagraph"/>
        <w:numPr>
          <w:ilvl w:val="0"/>
          <w:numId w:val="2"/>
        </w:numPr>
        <w:spacing w:after="80"/>
      </w:pPr>
      <w:r>
        <w:rPr>
          <w:rFonts w:ascii="Arial" w:cs="Arial" w:eastAsia="Arial" w:hAnsi="Arial"/>
          <w:color w:val="1A1A1A"/>
          <w:sz w:val="22"/>
          <w:szCs w:val="22"/>
        </w:rPr>
        <w:t xml:space="preserve">Attention to detail and risk analysis mindset</w:t>
      </w:r>
    </w:p>
    <w:p>
      <w:pPr>
        <w:pStyle w:val="ListParagraph"/>
        <w:numPr>
          <w:ilvl w:val="0"/>
          <w:numId w:val="2"/>
        </w:numPr>
        <w:spacing w:after="80"/>
      </w:pPr>
      <w:r>
        <w:rPr>
          <w:rFonts w:ascii="Arial" w:cs="Arial" w:eastAsia="Arial" w:hAnsi="Arial"/>
          <w:color w:val="1A1A1A"/>
          <w:sz w:val="22"/>
          <w:szCs w:val="22"/>
        </w:rPr>
        <w:t xml:space="preserve">Ability to work in teams and under pressure</w:t>
      </w:r>
    </w:p>
    <w:p>
      <w:pPr>
        <w:pStyle w:val="ListParagraph"/>
        <w:numPr>
          <w:ilvl w:val="0"/>
          <w:numId w:val="2"/>
        </w:numPr>
        <w:spacing w:after="80"/>
      </w:pPr>
      <w:r>
        <w:rPr>
          <w:rFonts w:ascii="Arial" w:cs="Arial" w:eastAsia="Arial" w:hAnsi="Arial"/>
          <w:color w:val="1A1A1A"/>
          <w:sz w:val="22"/>
          <w:szCs w:val="22"/>
        </w:rPr>
        <w:t xml:space="preserve">Familiarity with Companies Act, SEBI, FEMA regulations</w:t>
      </w:r>
    </w:p>
    <w:p>
      <w:pPr>
        <w:spacing w:after="80"/>
      </w:pPr>
      <w:r>
        <w:rPr>
          <w:sz w:val="12"/>
          <w:szCs w:val="12"/>
        </w:rPr>
        <w:t xml:space="preserve"/>
      </w:r>
    </w:p>
    <w:p>
      <w:pPr>
        <w:pBdr>
          <w:bottom w:val="single" w:color="C9A84C" w:sz="2"/>
        </w:pBdr>
        <w:spacing w:before="240" w:after="120"/>
      </w:pPr>
      <w:r>
        <w:rPr>
          <w:rFonts w:ascii="Arial" w:cs="Arial" w:eastAsia="Arial" w:hAnsi="Arial"/>
          <w:b/>
          <w:bCs/>
          <w:color w:val="1A2B5E"/>
          <w:sz w:val="24"/>
          <w:szCs w:val="24"/>
        </w:rPr>
        <w:t xml:space="preserve">Career Progression</w:t>
      </w:r>
    </w:p>
    <w:p>
      <w:pPr>
        <w:pStyle w:val="ListParagraph"/>
        <w:numPr>
          <w:ilvl w:val="0"/>
          <w:numId w:val="3"/>
        </w:numPr>
        <w:spacing w:after="80"/>
      </w:pPr>
      <w:r>
        <w:rPr>
          <w:rFonts w:ascii="Arial" w:cs="Arial" w:eastAsia="Arial" w:hAnsi="Arial"/>
          <w:color w:val="1A1A1A"/>
          <w:sz w:val="22"/>
          <w:szCs w:val="22"/>
        </w:rPr>
        <w:t xml:space="preserve">Year 1–3: Associate at a law firm or in-house junior counsel</w:t>
      </w:r>
    </w:p>
    <w:p>
      <w:pPr>
        <w:pStyle w:val="ListParagraph"/>
        <w:numPr>
          <w:ilvl w:val="0"/>
          <w:numId w:val="3"/>
        </w:numPr>
        <w:spacing w:after="80"/>
      </w:pPr>
      <w:r>
        <w:rPr>
          <w:rFonts w:ascii="Arial" w:cs="Arial" w:eastAsia="Arial" w:hAnsi="Arial"/>
          <w:color w:val="1A1A1A"/>
          <w:sz w:val="22"/>
          <w:szCs w:val="22"/>
        </w:rPr>
        <w:t xml:space="preserve">Year 3–6: Senior Associate / Team Lead</w:t>
      </w:r>
    </w:p>
    <w:p>
      <w:pPr>
        <w:pStyle w:val="ListParagraph"/>
        <w:numPr>
          <w:ilvl w:val="0"/>
          <w:numId w:val="3"/>
        </w:numPr>
        <w:spacing w:after="80"/>
      </w:pPr>
      <w:r>
        <w:rPr>
          <w:rFonts w:ascii="Arial" w:cs="Arial" w:eastAsia="Arial" w:hAnsi="Arial"/>
          <w:color w:val="1A1A1A"/>
          <w:sz w:val="22"/>
          <w:szCs w:val="22"/>
        </w:rPr>
        <w:t xml:space="preserve">Year 6–10: Partner track at law firm or General Counsel</w:t>
      </w:r>
    </w:p>
    <w:p>
      <w:pPr>
        <w:pStyle w:val="ListParagraph"/>
        <w:numPr>
          <w:ilvl w:val="0"/>
          <w:numId w:val="3"/>
        </w:numPr>
        <w:spacing w:after="80"/>
      </w:pPr>
      <w:r>
        <w:rPr>
          <w:rFonts w:ascii="Arial" w:cs="Arial" w:eastAsia="Arial" w:hAnsi="Arial"/>
          <w:color w:val="1A1A1A"/>
          <w:sz w:val="22"/>
          <w:szCs w:val="22"/>
        </w:rPr>
        <w:t xml:space="preserve">Long-term: Equity Partner or Chief Legal Officer (CLO)</w:t>
      </w:r>
    </w:p>
    <w:p>
      <w:pPr>
        <w:spacing w:after="80"/>
      </w:pPr>
      <w:r>
        <w:rPr>
          <w:sz w:val="12"/>
          <w:szCs w:val="12"/>
        </w:rPr>
        <w:t xml:space="preserve"/>
      </w:r>
    </w:p>
    <w:tbl>
      <w:tblPr>
        <w:tblW w:type="dxa" w:w="9746"/>
        <w:tblBorders>
          <w:top w:val="single" w:color="auto" w:sz="4"/>
          <w:left w:val="single" w:color="auto" w:sz="4"/>
          <w:bottom w:val="single" w:color="auto" w:sz="4"/>
          <w:right w:val="single" w:color="auto" w:sz="4"/>
          <w:insideH w:val="single" w:color="auto" w:sz="4"/>
          <w:insideV w:val="single" w:color="auto" w:sz="4"/>
        </w:tblBorders>
      </w:tblPr>
      <w:tblGrid>
        <w:gridCol w:w="9746"/>
      </w:tblGrid>
      <w:tr>
        <w:tc>
          <w:tcPr>
            <w:tcW w:type="dxa" w:w="9746"/>
            <w:tcBorders>
              <w:top w:val="single" w:color="C9A84C" w:sz="4"/>
              <w:left w:val="single" w:color="C9A84C" w:sz="12"/>
              <w:bottom w:val="single" w:color="C9A84C" w:sz="4"/>
              <w:right w:val="none" w:color="FFFFFF" w:sz="0"/>
            </w:tcBorders>
            <w:shd w:fill="F5E6C3" w:val="clear"/>
            <w:tcMar>
              <w:top w:type="dxa" w:w="120"/>
              <w:left w:type="dxa" w:w="200"/>
              <w:bottom w:type="dxa" w:w="120"/>
              <w:right w:type="dxa" w:w="200"/>
            </w:tcMar>
          </w:tcPr>
          <w:p>
            <w:r>
              <w:rPr>
                <w:rFonts w:ascii="Arial" w:cs="Arial" w:eastAsia="Arial" w:hAnsi="Arial"/>
                <w:b/>
                <w:bCs/>
                <w:color w:val="1A2B5E"/>
                <w:sz w:val="22"/>
                <w:szCs w:val="22"/>
              </w:rPr>
              <w:t xml:space="preserve">💡 Guru Legal Tip:</w:t>
            </w:r>
          </w:p>
          <w:p>
            <w:r>
              <w:rPr>
                <w:rFonts w:ascii="Arial" w:cs="Arial" w:eastAsia="Arial" w:hAnsi="Arial"/>
                <w:color w:val="1A1A1A"/>
                <w:sz w:val="22"/>
                <w:szCs w:val="22"/>
              </w:rPr>
              <w:t xml:space="preserve">Tier 1 and Tier 2 law firm placements depend heavily on your academic record AND networking. Build your LinkedIn profile, get internships at corporate law firms from 2nd year, and focus on drafting skills.</w:t>
            </w:r>
          </w:p>
        </w:tc>
      </w:tr>
    </w:tbl>
    <w:p>
      <w:pPr>
        <w:spacing w:after="200"/>
      </w:pPr>
      <w:r>
        <w:rPr>
          <w:sz w:val="12"/>
          <w:szCs w:val="12"/>
        </w:rPr>
        <w:t xml:space="preserve"/>
      </w:r>
    </w:p>
    <w:p>
      <w:pPr>
        <w:shd w:fill="1A2B5E" w:val="clear"/>
        <w:spacing w:before="300" w:after="200"/>
        <w:ind w:left="160" w:right="160"/>
      </w:pPr>
      <w:r>
        <w:rPr>
          <w:rFonts w:ascii="Arial" w:cs="Arial" w:eastAsia="Arial" w:hAnsi="Arial"/>
          <w:b/>
          <w:bCs/>
          <w:color w:val="FFFFFF"/>
          <w:sz w:val="28"/>
          <w:szCs w:val="28"/>
        </w:rPr>
        <w:t xml:space="preserve">3. ACADEMIA</w:t>
      </w:r>
    </w:p>
    <w:p>
      <w:pPr>
        <w:spacing w:after="80"/>
      </w:pPr>
      <w:r>
        <w:rPr>
          <w:sz w:val="12"/>
          <w:szCs w:val="12"/>
        </w:rPr>
        <w:t xml:space="preserve"/>
      </w:r>
    </w:p>
    <w:p>
      <w:pPr>
        <w:pBdr>
          <w:bottom w:val="single" w:color="C9A84C" w:sz="2"/>
        </w:pBdr>
        <w:spacing w:before="240" w:after="120"/>
      </w:pPr>
      <w:r>
        <w:rPr>
          <w:rFonts w:ascii="Arial" w:cs="Arial" w:eastAsia="Arial" w:hAnsi="Arial"/>
          <w:b/>
          <w:bCs/>
          <w:color w:val="1A2B5E"/>
          <w:sz w:val="24"/>
          <w:szCs w:val="24"/>
        </w:rPr>
        <w:t xml:space="preserve">What It Involves</w:t>
      </w:r>
    </w:p>
    <w:p>
      <w:pPr>
        <w:spacing w:after="120"/>
      </w:pPr>
      <w:r>
        <w:rPr>
          <w:rFonts w:ascii="Arial" w:cs="Arial" w:eastAsia="Arial" w:hAnsi="Arial"/>
          <w:color w:val="1A1A1A"/>
          <w:sz w:val="22"/>
          <w:szCs w:val="22"/>
        </w:rPr>
        <w:t xml:space="preserve">Legal academia involves teaching law, conducting research, and publishing scholarly work. Academics may work at NLUs, central/state universities, or private law schools. This path suits those who are deeply passionate about theory, research, and shaping future lawyers.</w:t>
      </w:r>
    </w:p>
    <w:p>
      <w:pPr>
        <w:spacing w:after="80"/>
      </w:pPr>
      <w:r>
        <w:rPr>
          <w:sz w:val="12"/>
          <w:szCs w:val="12"/>
        </w:rPr>
        <w:t xml:space="preserve"/>
      </w:r>
    </w:p>
    <w:p>
      <w:pPr>
        <w:pBdr>
          <w:bottom w:val="single" w:color="C9A84C" w:sz="2"/>
        </w:pBdr>
        <w:spacing w:before="240" w:after="120"/>
      </w:pPr>
      <w:r>
        <w:rPr>
          <w:rFonts w:ascii="Arial" w:cs="Arial" w:eastAsia="Arial" w:hAnsi="Arial"/>
          <w:b/>
          <w:bCs/>
          <w:color w:val="1A2B5E"/>
          <w:sz w:val="24"/>
          <w:szCs w:val="24"/>
        </w:rPr>
        <w:t xml:space="preserve">Key Skills Required</w:t>
      </w:r>
    </w:p>
    <w:p>
      <w:pPr>
        <w:pStyle w:val="ListParagraph"/>
        <w:numPr>
          <w:ilvl w:val="0"/>
          <w:numId w:val="2"/>
        </w:numPr>
        <w:spacing w:after="80"/>
      </w:pPr>
      <w:r>
        <w:rPr>
          <w:rFonts w:ascii="Arial" w:cs="Arial" w:eastAsia="Arial" w:hAnsi="Arial"/>
          <w:color w:val="1A1A1A"/>
          <w:sz w:val="22"/>
          <w:szCs w:val="22"/>
        </w:rPr>
        <w:t xml:space="preserve">Strong research, analytical, and writing ability</w:t>
      </w:r>
    </w:p>
    <w:p>
      <w:pPr>
        <w:pStyle w:val="ListParagraph"/>
        <w:numPr>
          <w:ilvl w:val="0"/>
          <w:numId w:val="2"/>
        </w:numPr>
        <w:spacing w:after="80"/>
      </w:pPr>
      <w:r>
        <w:rPr>
          <w:rFonts w:ascii="Arial" w:cs="Arial" w:eastAsia="Arial" w:hAnsi="Arial"/>
          <w:color w:val="1A1A1A"/>
          <w:sz w:val="22"/>
          <w:szCs w:val="22"/>
        </w:rPr>
        <w:t xml:space="preserve">Passion for a particular area of law</w:t>
      </w:r>
    </w:p>
    <w:p>
      <w:pPr>
        <w:pStyle w:val="ListParagraph"/>
        <w:numPr>
          <w:ilvl w:val="0"/>
          <w:numId w:val="2"/>
        </w:numPr>
        <w:spacing w:after="80"/>
      </w:pPr>
      <w:r>
        <w:rPr>
          <w:rFonts w:ascii="Arial" w:cs="Arial" w:eastAsia="Arial" w:hAnsi="Arial"/>
          <w:color w:val="1A1A1A"/>
          <w:sz w:val="22"/>
          <w:szCs w:val="22"/>
        </w:rPr>
        <w:t xml:space="preserve">Communication and teaching skills</w:t>
      </w:r>
    </w:p>
    <w:p>
      <w:pPr>
        <w:pStyle w:val="ListParagraph"/>
        <w:numPr>
          <w:ilvl w:val="0"/>
          <w:numId w:val="2"/>
        </w:numPr>
        <w:spacing w:after="80"/>
      </w:pPr>
      <w:r>
        <w:rPr>
          <w:rFonts w:ascii="Arial" w:cs="Arial" w:eastAsia="Arial" w:hAnsi="Arial"/>
          <w:color w:val="1A1A1A"/>
          <w:sz w:val="22"/>
          <w:szCs w:val="22"/>
        </w:rPr>
        <w:t xml:space="preserve">Ability to publish in law journals (SSRN, peer-reviewed journals)</w:t>
      </w:r>
    </w:p>
    <w:p>
      <w:pPr>
        <w:pStyle w:val="ListParagraph"/>
        <w:numPr>
          <w:ilvl w:val="0"/>
          <w:numId w:val="2"/>
        </w:numPr>
        <w:spacing w:after="80"/>
      </w:pPr>
      <w:r>
        <w:rPr>
          <w:rFonts w:ascii="Arial" w:cs="Arial" w:eastAsia="Arial" w:hAnsi="Arial"/>
          <w:color w:val="1A1A1A"/>
          <w:sz w:val="22"/>
          <w:szCs w:val="22"/>
        </w:rPr>
        <w:t xml:space="preserve">Completion of LLM and ideally a PhD</w:t>
      </w:r>
    </w:p>
    <w:p>
      <w:pPr>
        <w:spacing w:after="80"/>
      </w:pPr>
      <w:r>
        <w:rPr>
          <w:sz w:val="12"/>
          <w:szCs w:val="12"/>
        </w:rPr>
        <w:t xml:space="preserve"/>
      </w:r>
    </w:p>
    <w:p>
      <w:pPr>
        <w:pBdr>
          <w:bottom w:val="single" w:color="C9A84C" w:sz="2"/>
        </w:pBdr>
        <w:spacing w:before="240" w:after="120"/>
      </w:pPr>
      <w:r>
        <w:rPr>
          <w:rFonts w:ascii="Arial" w:cs="Arial" w:eastAsia="Arial" w:hAnsi="Arial"/>
          <w:b/>
          <w:bCs/>
          <w:color w:val="1A2B5E"/>
          <w:sz w:val="24"/>
          <w:szCs w:val="24"/>
        </w:rPr>
        <w:t xml:space="preserve">Career Progression</w:t>
      </w:r>
    </w:p>
    <w:p>
      <w:pPr>
        <w:pStyle w:val="ListParagraph"/>
        <w:numPr>
          <w:ilvl w:val="0"/>
          <w:numId w:val="3"/>
        </w:numPr>
        <w:spacing w:after="80"/>
      </w:pPr>
      <w:r>
        <w:rPr>
          <w:rFonts w:ascii="Arial" w:cs="Arial" w:eastAsia="Arial" w:hAnsi="Arial"/>
          <w:color w:val="1A1A1A"/>
          <w:sz w:val="22"/>
          <w:szCs w:val="22"/>
        </w:rPr>
        <w:t xml:space="preserve">Post-LLB: Enrol in LLM (India or abroad)</w:t>
      </w:r>
    </w:p>
    <w:p>
      <w:pPr>
        <w:pStyle w:val="ListParagraph"/>
        <w:numPr>
          <w:ilvl w:val="0"/>
          <w:numId w:val="3"/>
        </w:numPr>
        <w:spacing w:after="80"/>
      </w:pPr>
      <w:r>
        <w:rPr>
          <w:rFonts w:ascii="Arial" w:cs="Arial" w:eastAsia="Arial" w:hAnsi="Arial"/>
          <w:color w:val="1A1A1A"/>
          <w:sz w:val="22"/>
          <w:szCs w:val="22"/>
        </w:rPr>
        <w:t xml:space="preserve">During LLM/Post-LLM: Publish, research, assist professors</w:t>
      </w:r>
    </w:p>
    <w:p>
      <w:pPr>
        <w:pStyle w:val="ListParagraph"/>
        <w:numPr>
          <w:ilvl w:val="0"/>
          <w:numId w:val="3"/>
        </w:numPr>
        <w:spacing w:after="80"/>
      </w:pPr>
      <w:r>
        <w:rPr>
          <w:rFonts w:ascii="Arial" w:cs="Arial" w:eastAsia="Arial" w:hAnsi="Arial"/>
          <w:color w:val="1A1A1A"/>
          <w:sz w:val="22"/>
          <w:szCs w:val="22"/>
        </w:rPr>
        <w:t xml:space="preserve">PhD: Essential for permanent academic appointments</w:t>
      </w:r>
    </w:p>
    <w:p>
      <w:pPr>
        <w:pStyle w:val="ListParagraph"/>
        <w:numPr>
          <w:ilvl w:val="0"/>
          <w:numId w:val="3"/>
        </w:numPr>
        <w:spacing w:after="80"/>
      </w:pPr>
      <w:r>
        <w:rPr>
          <w:rFonts w:ascii="Arial" w:cs="Arial" w:eastAsia="Arial" w:hAnsi="Arial"/>
          <w:color w:val="1A1A1A"/>
          <w:sz w:val="22"/>
          <w:szCs w:val="22"/>
        </w:rPr>
        <w:t xml:space="preserve">Entry Level: Assistant Professor at law school</w:t>
      </w:r>
    </w:p>
    <w:p>
      <w:pPr>
        <w:pStyle w:val="ListParagraph"/>
        <w:numPr>
          <w:ilvl w:val="0"/>
          <w:numId w:val="3"/>
        </w:numPr>
        <w:spacing w:after="80"/>
      </w:pPr>
      <w:r>
        <w:rPr>
          <w:rFonts w:ascii="Arial" w:cs="Arial" w:eastAsia="Arial" w:hAnsi="Arial"/>
          <w:color w:val="1A1A1A"/>
          <w:sz w:val="22"/>
          <w:szCs w:val="22"/>
        </w:rPr>
        <w:t xml:space="preserve">Long-term: Associate/Full Professor, Head of Department, Dean</w:t>
      </w:r>
    </w:p>
    <w:p>
      <w:pPr>
        <w:spacing w:after="80"/>
      </w:pPr>
      <w:r>
        <w:rPr>
          <w:sz w:val="12"/>
          <w:szCs w:val="12"/>
        </w:rPr>
        <w:t xml:space="preserve"/>
      </w:r>
    </w:p>
    <w:tbl>
      <w:tblPr>
        <w:tblW w:type="dxa" w:w="9746"/>
        <w:tblBorders>
          <w:top w:val="single" w:color="auto" w:sz="4"/>
          <w:left w:val="single" w:color="auto" w:sz="4"/>
          <w:bottom w:val="single" w:color="auto" w:sz="4"/>
          <w:right w:val="single" w:color="auto" w:sz="4"/>
          <w:insideH w:val="single" w:color="auto" w:sz="4"/>
          <w:insideV w:val="single" w:color="auto" w:sz="4"/>
        </w:tblBorders>
      </w:tblPr>
      <w:tblGrid>
        <w:gridCol w:w="9746"/>
      </w:tblGrid>
      <w:tr>
        <w:tc>
          <w:tcPr>
            <w:tcW w:type="dxa" w:w="9746"/>
            <w:tcBorders>
              <w:top w:val="single" w:color="C9A84C" w:sz="4"/>
              <w:left w:val="single" w:color="C9A84C" w:sz="12"/>
              <w:bottom w:val="single" w:color="C9A84C" w:sz="4"/>
              <w:right w:val="none" w:color="FFFFFF" w:sz="0"/>
            </w:tcBorders>
            <w:shd w:fill="F5E6C3" w:val="clear"/>
            <w:tcMar>
              <w:top w:type="dxa" w:w="120"/>
              <w:left w:type="dxa" w:w="200"/>
              <w:bottom w:type="dxa" w:w="120"/>
              <w:right w:type="dxa" w:w="200"/>
            </w:tcMar>
          </w:tcPr>
          <w:p>
            <w:r>
              <w:rPr>
                <w:rFonts w:ascii="Arial" w:cs="Arial" w:eastAsia="Arial" w:hAnsi="Arial"/>
                <w:b/>
                <w:bCs/>
                <w:color w:val="1A2B5E"/>
                <w:sz w:val="22"/>
                <w:szCs w:val="22"/>
              </w:rPr>
              <w:t xml:space="preserve">💡 Guru Legal Tip:</w:t>
            </w:r>
          </w:p>
          <w:p>
            <w:r>
              <w:rPr>
                <w:rFonts w:ascii="Arial" w:cs="Arial" w:eastAsia="Arial" w:hAnsi="Arial"/>
                <w:color w:val="1A1A1A"/>
                <w:sz w:val="22"/>
                <w:szCs w:val="22"/>
              </w:rPr>
              <w:t xml:space="preserve">Start publishing early — even in 3rd year. Write case comments, research notes, and submit to student-edited journals. Foreign LLMs (Oxford, Harvard, NUS) dramatically boost academic placement prospects.</w:t>
            </w:r>
          </w:p>
        </w:tc>
      </w:tr>
    </w:tbl>
    <w:p>
      <w:pPr>
        <w:spacing w:after="200"/>
      </w:pPr>
      <w:r>
        <w:rPr>
          <w:sz w:val="12"/>
          <w:szCs w:val="12"/>
        </w:rPr>
        <w:t xml:space="preserve"/>
      </w:r>
    </w:p>
    <w:p>
      <w:pPr>
        <w:shd w:fill="1A2B5E" w:val="clear"/>
        <w:spacing w:before="300" w:after="200"/>
        <w:ind w:left="160" w:right="160"/>
      </w:pPr>
      <w:r>
        <w:rPr>
          <w:rFonts w:ascii="Arial" w:cs="Arial" w:eastAsia="Arial" w:hAnsi="Arial"/>
          <w:b/>
          <w:bCs/>
          <w:color w:val="FFFFFF"/>
          <w:sz w:val="28"/>
          <w:szCs w:val="28"/>
        </w:rPr>
        <w:t xml:space="preserve">4. GOVERNMENT &amp; PUBLIC SERVICE</w:t>
      </w:r>
    </w:p>
    <w:p>
      <w:pPr>
        <w:spacing w:after="80"/>
      </w:pPr>
      <w:r>
        <w:rPr>
          <w:sz w:val="12"/>
          <w:szCs w:val="12"/>
        </w:rPr>
        <w:t xml:space="preserve"/>
      </w:r>
    </w:p>
    <w:p>
      <w:pPr>
        <w:pBdr>
          <w:bottom w:val="single" w:color="C9A84C" w:sz="2"/>
        </w:pBdr>
        <w:spacing w:before="240" w:after="120"/>
      </w:pPr>
      <w:r>
        <w:rPr>
          <w:rFonts w:ascii="Arial" w:cs="Arial" w:eastAsia="Arial" w:hAnsi="Arial"/>
          <w:b/>
          <w:bCs/>
          <w:color w:val="1A2B5E"/>
          <w:sz w:val="24"/>
          <w:szCs w:val="24"/>
        </w:rPr>
        <w:t xml:space="preserve">What It Involves</w:t>
      </w:r>
    </w:p>
    <w:p>
      <w:pPr>
        <w:spacing w:after="120"/>
      </w:pPr>
      <w:r>
        <w:rPr>
          <w:rFonts w:ascii="Arial" w:cs="Arial" w:eastAsia="Arial" w:hAnsi="Arial"/>
          <w:color w:val="1A1A1A"/>
          <w:sz w:val="22"/>
          <w:szCs w:val="22"/>
        </w:rPr>
        <w:t xml:space="preserve">Government legal careers span Judicial Services (becoming a judge), public prosecution, legal advisor roles in government departments, and civil services (IAS/IPS/IFS with law background). This path offers stability, purpose, and the opportunity to serve public interest.</w:t>
      </w:r>
    </w:p>
    <w:p>
      <w:pPr>
        <w:spacing w:after="80"/>
      </w:pPr>
      <w:r>
        <w:rPr>
          <w:sz w:val="12"/>
          <w:szCs w:val="12"/>
        </w:rPr>
        <w:t xml:space="preserve"/>
      </w:r>
    </w:p>
    <w:p>
      <w:pPr>
        <w:pBdr>
          <w:bottom w:val="single" w:color="C9A84C" w:sz="2"/>
        </w:pBdr>
        <w:spacing w:before="240" w:after="120"/>
      </w:pPr>
      <w:r>
        <w:rPr>
          <w:rFonts w:ascii="Arial" w:cs="Arial" w:eastAsia="Arial" w:hAnsi="Arial"/>
          <w:b/>
          <w:bCs/>
          <w:color w:val="1A2B5E"/>
          <w:sz w:val="24"/>
          <w:szCs w:val="24"/>
        </w:rPr>
        <w:t xml:space="preserve">Key Opportunities</w:t>
      </w:r>
    </w:p>
    <w:p>
      <w:pPr>
        <w:pStyle w:val="ListParagraph"/>
        <w:numPr>
          <w:ilvl w:val="0"/>
          <w:numId w:val="2"/>
        </w:numPr>
        <w:spacing w:after="80"/>
      </w:pPr>
      <w:r>
        <w:rPr>
          <w:rFonts w:ascii="Arial" w:cs="Arial" w:eastAsia="Arial" w:hAnsi="Arial"/>
          <w:color w:val="1A1A1A"/>
          <w:sz w:val="22"/>
          <w:szCs w:val="22"/>
        </w:rPr>
        <w:t xml:space="preserve">State/Central Judicial Services Examination (Civil Judge, Magistrate)</w:t>
      </w:r>
    </w:p>
    <w:p>
      <w:pPr>
        <w:pStyle w:val="ListParagraph"/>
        <w:numPr>
          <w:ilvl w:val="0"/>
          <w:numId w:val="2"/>
        </w:numPr>
        <w:spacing w:after="80"/>
      </w:pPr>
      <w:r>
        <w:rPr>
          <w:rFonts w:ascii="Arial" w:cs="Arial" w:eastAsia="Arial" w:hAnsi="Arial"/>
          <w:color w:val="1A1A1A"/>
          <w:sz w:val="22"/>
          <w:szCs w:val="22"/>
        </w:rPr>
        <w:t xml:space="preserve">Public Prosecutor (District, High Court, CBI)</w:t>
      </w:r>
    </w:p>
    <w:p>
      <w:pPr>
        <w:pStyle w:val="ListParagraph"/>
        <w:numPr>
          <w:ilvl w:val="0"/>
          <w:numId w:val="2"/>
        </w:numPr>
        <w:spacing w:after="80"/>
      </w:pPr>
      <w:r>
        <w:rPr>
          <w:rFonts w:ascii="Arial" w:cs="Arial" w:eastAsia="Arial" w:hAnsi="Arial"/>
          <w:color w:val="1A1A1A"/>
          <w:sz w:val="22"/>
          <w:szCs w:val="22"/>
        </w:rPr>
        <w:t xml:space="preserve">Legal Advisor in Ministries / PSUs / Regulatory Bodies</w:t>
      </w:r>
    </w:p>
    <w:p>
      <w:pPr>
        <w:pStyle w:val="ListParagraph"/>
        <w:numPr>
          <w:ilvl w:val="0"/>
          <w:numId w:val="2"/>
        </w:numPr>
        <w:spacing w:after="80"/>
      </w:pPr>
      <w:r>
        <w:rPr>
          <w:rFonts w:ascii="Arial" w:cs="Arial" w:eastAsia="Arial" w:hAnsi="Arial"/>
          <w:color w:val="1A1A1A"/>
          <w:sz w:val="22"/>
          <w:szCs w:val="22"/>
        </w:rPr>
        <w:t xml:space="preserve">UPSC Civil Services (with law as optional subject)</w:t>
      </w:r>
    </w:p>
    <w:p>
      <w:pPr>
        <w:pStyle w:val="ListParagraph"/>
        <w:numPr>
          <w:ilvl w:val="0"/>
          <w:numId w:val="2"/>
        </w:numPr>
        <w:spacing w:after="80"/>
      </w:pPr>
      <w:r>
        <w:rPr>
          <w:rFonts w:ascii="Arial" w:cs="Arial" w:eastAsia="Arial" w:hAnsi="Arial"/>
          <w:color w:val="1A1A1A"/>
          <w:sz w:val="22"/>
          <w:szCs w:val="22"/>
        </w:rPr>
        <w:t xml:space="preserve">Company Secretary / SEBI / RBI Legal Positions</w:t>
      </w:r>
    </w:p>
    <w:p>
      <w:pPr>
        <w:spacing w:after="80"/>
      </w:pPr>
      <w:r>
        <w:rPr>
          <w:sz w:val="12"/>
          <w:szCs w:val="12"/>
        </w:rPr>
        <w:t xml:space="preserve"/>
      </w:r>
    </w:p>
    <w:p>
      <w:pPr>
        <w:pBdr>
          <w:bottom w:val="single" w:color="C9A84C" w:sz="2"/>
        </w:pBdr>
        <w:spacing w:before="240" w:after="120"/>
      </w:pPr>
      <w:r>
        <w:rPr>
          <w:rFonts w:ascii="Arial" w:cs="Arial" w:eastAsia="Arial" w:hAnsi="Arial"/>
          <w:b/>
          <w:bCs/>
          <w:color w:val="1A2B5E"/>
          <w:sz w:val="24"/>
          <w:szCs w:val="24"/>
        </w:rPr>
        <w:t xml:space="preserve">Career Progression</w:t>
      </w:r>
    </w:p>
    <w:p>
      <w:pPr>
        <w:pStyle w:val="ListParagraph"/>
        <w:numPr>
          <w:ilvl w:val="0"/>
          <w:numId w:val="3"/>
        </w:numPr>
        <w:spacing w:after="80"/>
      </w:pPr>
      <w:r>
        <w:rPr>
          <w:rFonts w:ascii="Arial" w:cs="Arial" w:eastAsia="Arial" w:hAnsi="Arial"/>
          <w:color w:val="1A1A1A"/>
          <w:sz w:val="22"/>
          <w:szCs w:val="22"/>
        </w:rPr>
        <w:t xml:space="preserve">Judicial Services: Civil Judge Jr. Division → Senior Division → District Judge → High Court Judge</w:t>
      </w:r>
    </w:p>
    <w:p>
      <w:pPr>
        <w:pStyle w:val="ListParagraph"/>
        <w:numPr>
          <w:ilvl w:val="0"/>
          <w:numId w:val="3"/>
        </w:numPr>
        <w:spacing w:after="80"/>
      </w:pPr>
      <w:r>
        <w:rPr>
          <w:rFonts w:ascii="Arial" w:cs="Arial" w:eastAsia="Arial" w:hAnsi="Arial"/>
          <w:color w:val="1A1A1A"/>
          <w:sz w:val="22"/>
          <w:szCs w:val="22"/>
        </w:rPr>
        <w:t xml:space="preserve">Public Service: Entry level → Gazetted Officer → Senior Advisor</w:t>
      </w:r>
    </w:p>
    <w:p>
      <w:pPr>
        <w:pStyle w:val="ListParagraph"/>
        <w:numPr>
          <w:ilvl w:val="0"/>
          <w:numId w:val="3"/>
        </w:numPr>
        <w:spacing w:after="80"/>
      </w:pPr>
      <w:r>
        <w:rPr>
          <w:rFonts w:ascii="Arial" w:cs="Arial" w:eastAsia="Arial" w:hAnsi="Arial"/>
          <w:color w:val="1A1A1A"/>
          <w:sz w:val="22"/>
          <w:szCs w:val="22"/>
        </w:rPr>
        <w:t xml:space="preserve">UPSC: IAS/IPS/IRS with legal expertise</w:t>
      </w:r>
    </w:p>
    <w:p>
      <w:pPr>
        <w:spacing w:after="80"/>
      </w:pPr>
      <w:r>
        <w:rPr>
          <w:sz w:val="12"/>
          <w:szCs w:val="12"/>
        </w:rPr>
        <w:t xml:space="preserve"/>
      </w:r>
    </w:p>
    <w:tbl>
      <w:tblPr>
        <w:tblW w:type="dxa" w:w="9746"/>
        <w:tblBorders>
          <w:top w:val="single" w:color="auto" w:sz="4"/>
          <w:left w:val="single" w:color="auto" w:sz="4"/>
          <w:bottom w:val="single" w:color="auto" w:sz="4"/>
          <w:right w:val="single" w:color="auto" w:sz="4"/>
          <w:insideH w:val="single" w:color="auto" w:sz="4"/>
          <w:insideV w:val="single" w:color="auto" w:sz="4"/>
        </w:tblBorders>
      </w:tblPr>
      <w:tblGrid>
        <w:gridCol w:w="9746"/>
      </w:tblGrid>
      <w:tr>
        <w:tc>
          <w:tcPr>
            <w:tcW w:type="dxa" w:w="9746"/>
            <w:tcBorders>
              <w:top w:val="single" w:color="C9A84C" w:sz="4"/>
              <w:left w:val="single" w:color="C9A84C" w:sz="12"/>
              <w:bottom w:val="single" w:color="C9A84C" w:sz="4"/>
              <w:right w:val="none" w:color="FFFFFF" w:sz="0"/>
            </w:tcBorders>
            <w:shd w:fill="F5E6C3" w:val="clear"/>
            <w:tcMar>
              <w:top w:type="dxa" w:w="120"/>
              <w:left w:type="dxa" w:w="200"/>
              <w:bottom w:type="dxa" w:w="120"/>
              <w:right w:type="dxa" w:w="200"/>
            </w:tcMar>
          </w:tcPr>
          <w:p>
            <w:r>
              <w:rPr>
                <w:rFonts w:ascii="Arial" w:cs="Arial" w:eastAsia="Arial" w:hAnsi="Arial"/>
                <w:b/>
                <w:bCs/>
                <w:color w:val="1A2B5E"/>
                <w:sz w:val="22"/>
                <w:szCs w:val="22"/>
              </w:rPr>
              <w:t xml:space="preserve">💡 Guru Legal Tip:</w:t>
            </w:r>
          </w:p>
          <w:p>
            <w:r>
              <w:rPr>
                <w:rFonts w:ascii="Arial" w:cs="Arial" w:eastAsia="Arial" w:hAnsi="Arial"/>
                <w:color w:val="1A1A1A"/>
                <w:sz w:val="22"/>
                <w:szCs w:val="22"/>
              </w:rPr>
              <w:t xml:space="preserve">For Judicial Services, begin preparation by 4th year. The competition is stiff but manageable with structured preparation. Guru Legal offers a dedicated Judicial Services Roadmap — download it from our Free Resources section.</w:t>
            </w:r>
          </w:p>
        </w:tc>
      </w:tr>
    </w:tbl>
    <w:p>
      <w:pPr>
        <w:spacing w:after="200"/>
      </w:pPr>
      <w:r>
        <w:rPr>
          <w:sz w:val="12"/>
          <w:szCs w:val="12"/>
        </w:rPr>
        <w:t xml:space="preserve"/>
      </w:r>
    </w:p>
    <w:p>
      <w:pPr>
        <w:shd w:fill="1A2B5E" w:val="clear"/>
        <w:spacing w:before="300" w:after="200"/>
        <w:ind w:left="160" w:right="160"/>
      </w:pPr>
      <w:r>
        <w:rPr>
          <w:rFonts w:ascii="Arial" w:cs="Arial" w:eastAsia="Arial" w:hAnsi="Arial"/>
          <w:b/>
          <w:bCs/>
          <w:color w:val="FFFFFF"/>
          <w:sz w:val="28"/>
          <w:szCs w:val="28"/>
        </w:rPr>
        <w:t xml:space="preserve">QUICK COMPARISON</w:t>
      </w:r>
    </w:p>
    <w:p>
      <w:pPr>
        <w:spacing w:after="120"/>
      </w:pPr>
      <w:r>
        <w:rPr>
          <w:sz w:val="12"/>
          <w:szCs w:val="12"/>
        </w:rPr>
        <w:t xml:space="preserve"/>
      </w:r>
    </w:p>
    <w:tbl>
      <w:tblPr>
        <w:tblW w:type="dxa" w:w="9746"/>
        <w:tblBorders>
          <w:top w:val="single" w:color="auto" w:sz="4"/>
          <w:left w:val="single" w:color="auto" w:sz="4"/>
          <w:bottom w:val="single" w:color="auto" w:sz="4"/>
          <w:right w:val="single" w:color="auto" w:sz="4"/>
          <w:insideH w:val="single" w:color="auto" w:sz="4"/>
          <w:insideV w:val="single" w:color="auto" w:sz="4"/>
        </w:tblBorders>
      </w:tblPr>
      <w:tblGrid>
        <w:gridCol w:w="1949"/>
        <w:gridCol w:w="1949"/>
        <w:gridCol w:w="1949"/>
        <w:gridCol w:w="1949"/>
        <w:gridCol w:w="1949"/>
      </w:tblGrid>
      <w:tr>
        <w:trPr>
          <w:tblHeader/>
        </w:trPr>
        <w:tc>
          <w:tcPr>
            <w:tcW w:type="dxa" w:w="1949"/>
            <w:tcBorders>
              <w:top w:val="single" w:color="CCCCCC" w:sz="1"/>
              <w:left w:val="single" w:color="CCCCCC" w:sz="1"/>
              <w:bottom w:val="single" w:color="CCCCCC" w:sz="1"/>
              <w:right w:val="single" w:color="CCCCCC" w:sz="1"/>
            </w:tcBorders>
            <w:shd w:fill="1A2B5E" w:val="clear"/>
            <w:tcMar>
              <w:top w:type="dxa" w:w="100"/>
              <w:left w:type="dxa" w:w="120"/>
              <w:bottom w:type="dxa" w:w="100"/>
              <w:right w:type="dxa" w:w="120"/>
            </w:tcMar>
          </w:tcPr>
          <w:p>
            <w:pPr>
              <w:jc w:val="center"/>
            </w:pPr>
            <w:r>
              <w:rPr>
                <w:rFonts w:ascii="Arial" w:cs="Arial" w:eastAsia="Arial" w:hAnsi="Arial"/>
                <w:b/>
                <w:bCs/>
                <w:color w:val="FFFFFF"/>
                <w:sz w:val="20"/>
                <w:szCs w:val="20"/>
              </w:rPr>
              <w:t xml:space="preserve">Factor</w:t>
            </w:r>
          </w:p>
        </w:tc>
        <w:tc>
          <w:tcPr>
            <w:tcW w:type="dxa" w:w="1949"/>
            <w:tcBorders>
              <w:top w:val="single" w:color="CCCCCC" w:sz="1"/>
              <w:left w:val="single" w:color="CCCCCC" w:sz="1"/>
              <w:bottom w:val="single" w:color="CCCCCC" w:sz="1"/>
              <w:right w:val="single" w:color="CCCCCC" w:sz="1"/>
            </w:tcBorders>
            <w:shd w:fill="1A2B5E" w:val="clear"/>
            <w:tcMar>
              <w:top w:type="dxa" w:w="100"/>
              <w:left w:type="dxa" w:w="120"/>
              <w:bottom w:type="dxa" w:w="100"/>
              <w:right w:type="dxa" w:w="120"/>
            </w:tcMar>
          </w:tcPr>
          <w:p>
            <w:pPr>
              <w:jc w:val="center"/>
            </w:pPr>
            <w:r>
              <w:rPr>
                <w:rFonts w:ascii="Arial" w:cs="Arial" w:eastAsia="Arial" w:hAnsi="Arial"/>
                <w:b/>
                <w:bCs/>
                <w:color w:val="FFFFFF"/>
                <w:sz w:val="20"/>
                <w:szCs w:val="20"/>
              </w:rPr>
              <w:t xml:space="preserve">Litigation</w:t>
            </w:r>
          </w:p>
        </w:tc>
        <w:tc>
          <w:tcPr>
            <w:tcW w:type="dxa" w:w="1949"/>
            <w:tcBorders>
              <w:top w:val="single" w:color="CCCCCC" w:sz="1"/>
              <w:left w:val="single" w:color="CCCCCC" w:sz="1"/>
              <w:bottom w:val="single" w:color="CCCCCC" w:sz="1"/>
              <w:right w:val="single" w:color="CCCCCC" w:sz="1"/>
            </w:tcBorders>
            <w:shd w:fill="1A2B5E" w:val="clear"/>
            <w:tcMar>
              <w:top w:type="dxa" w:w="100"/>
              <w:left w:type="dxa" w:w="120"/>
              <w:bottom w:type="dxa" w:w="100"/>
              <w:right w:type="dxa" w:w="120"/>
            </w:tcMar>
          </w:tcPr>
          <w:p>
            <w:pPr>
              <w:jc w:val="center"/>
            </w:pPr>
            <w:r>
              <w:rPr>
                <w:rFonts w:ascii="Arial" w:cs="Arial" w:eastAsia="Arial" w:hAnsi="Arial"/>
                <w:b/>
                <w:bCs/>
                <w:color w:val="FFFFFF"/>
                <w:sz w:val="20"/>
                <w:szCs w:val="20"/>
              </w:rPr>
              <w:t xml:space="preserve">Corporate</w:t>
            </w:r>
          </w:p>
        </w:tc>
        <w:tc>
          <w:tcPr>
            <w:tcW w:type="dxa" w:w="1949"/>
            <w:tcBorders>
              <w:top w:val="single" w:color="CCCCCC" w:sz="1"/>
              <w:left w:val="single" w:color="CCCCCC" w:sz="1"/>
              <w:bottom w:val="single" w:color="CCCCCC" w:sz="1"/>
              <w:right w:val="single" w:color="CCCCCC" w:sz="1"/>
            </w:tcBorders>
            <w:shd w:fill="1A2B5E" w:val="clear"/>
            <w:tcMar>
              <w:top w:type="dxa" w:w="100"/>
              <w:left w:type="dxa" w:w="120"/>
              <w:bottom w:type="dxa" w:w="100"/>
              <w:right w:type="dxa" w:w="120"/>
            </w:tcMar>
          </w:tcPr>
          <w:p>
            <w:pPr>
              <w:jc w:val="center"/>
            </w:pPr>
            <w:r>
              <w:rPr>
                <w:rFonts w:ascii="Arial" w:cs="Arial" w:eastAsia="Arial" w:hAnsi="Arial"/>
                <w:b/>
                <w:bCs/>
                <w:color w:val="FFFFFF"/>
                <w:sz w:val="20"/>
                <w:szCs w:val="20"/>
              </w:rPr>
              <w:t xml:space="preserve">Academia</w:t>
            </w:r>
          </w:p>
        </w:tc>
        <w:tc>
          <w:tcPr>
            <w:tcW w:type="dxa" w:w="1949"/>
            <w:tcBorders>
              <w:top w:val="single" w:color="CCCCCC" w:sz="1"/>
              <w:left w:val="single" w:color="CCCCCC" w:sz="1"/>
              <w:bottom w:val="single" w:color="CCCCCC" w:sz="1"/>
              <w:right w:val="single" w:color="CCCCCC" w:sz="1"/>
            </w:tcBorders>
            <w:shd w:fill="1A2B5E" w:val="clear"/>
            <w:tcMar>
              <w:top w:type="dxa" w:w="100"/>
              <w:left w:type="dxa" w:w="120"/>
              <w:bottom w:type="dxa" w:w="100"/>
              <w:right w:type="dxa" w:w="120"/>
            </w:tcMar>
          </w:tcPr>
          <w:p>
            <w:pPr>
              <w:jc w:val="center"/>
            </w:pPr>
            <w:r>
              <w:rPr>
                <w:rFonts w:ascii="Arial" w:cs="Arial" w:eastAsia="Arial" w:hAnsi="Arial"/>
                <w:b/>
                <w:bCs/>
                <w:color w:val="FFFFFF"/>
                <w:sz w:val="20"/>
                <w:szCs w:val="20"/>
              </w:rPr>
              <w:t xml:space="preserve">Government</w:t>
            </w:r>
          </w:p>
        </w:tc>
      </w:tr>
      <w:tr>
        <w:tc>
          <w:tcPr>
            <w:tcW w:type="dxa" w:w="1949"/>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1A1A1A"/>
                <w:sz w:val="20"/>
                <w:szCs w:val="20"/>
              </w:rPr>
              <w:t xml:space="preserve">Starting Income</w:t>
            </w:r>
          </w:p>
        </w:tc>
        <w:tc>
          <w:tcPr>
            <w:tcW w:type="dxa" w:w="1949"/>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1A1A1A"/>
                <w:sz w:val="20"/>
                <w:szCs w:val="20"/>
              </w:rPr>
              <w:t xml:space="preserve">Low–Medium</w:t>
            </w:r>
          </w:p>
        </w:tc>
        <w:tc>
          <w:tcPr>
            <w:tcW w:type="dxa" w:w="1949"/>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1A1A1A"/>
                <w:sz w:val="20"/>
                <w:szCs w:val="20"/>
              </w:rPr>
              <w:t xml:space="preserve">High</w:t>
            </w:r>
          </w:p>
        </w:tc>
        <w:tc>
          <w:tcPr>
            <w:tcW w:type="dxa" w:w="1949"/>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1A1A1A"/>
                <w:sz w:val="20"/>
                <w:szCs w:val="20"/>
              </w:rPr>
              <w:t xml:space="preserve">Medium</w:t>
            </w:r>
          </w:p>
        </w:tc>
        <w:tc>
          <w:tcPr>
            <w:tcW w:type="dxa" w:w="1949"/>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1A1A1A"/>
                <w:sz w:val="20"/>
                <w:szCs w:val="20"/>
              </w:rPr>
              <w:t xml:space="preserve">Medium-Fixed</w:t>
            </w:r>
          </w:p>
        </w:tc>
      </w:tr>
      <w:tr>
        <w:tc>
          <w:tcPr>
            <w:tcW w:type="dxa" w:w="1949"/>
            <w:tcBorders>
              <w:top w:val="single" w:color="CCCCCC" w:sz="1"/>
              <w:left w:val="single" w:color="CCCCCC" w:sz="1"/>
              <w:bottom w:val="single" w:color="CCCCCC" w:sz="1"/>
              <w:right w:val="single" w:color="CCCCCC" w:sz="1"/>
            </w:tcBorders>
            <w:shd w:fill="F2F4F8" w:val="clear"/>
            <w:tcMar>
              <w:top w:type="dxa" w:w="80"/>
              <w:left w:type="dxa" w:w="120"/>
              <w:bottom w:type="dxa" w:w="80"/>
              <w:right w:type="dxa" w:w="120"/>
            </w:tcMar>
          </w:tcPr>
          <w:p>
            <w:r>
              <w:rPr>
                <w:rFonts w:ascii="Arial" w:cs="Arial" w:eastAsia="Arial" w:hAnsi="Arial"/>
                <w:color w:val="1A1A1A"/>
                <w:sz w:val="20"/>
                <w:szCs w:val="20"/>
              </w:rPr>
              <w:t xml:space="preserve">Job Security</w:t>
            </w:r>
          </w:p>
        </w:tc>
        <w:tc>
          <w:tcPr>
            <w:tcW w:type="dxa" w:w="1949"/>
            <w:tcBorders>
              <w:top w:val="single" w:color="CCCCCC" w:sz="1"/>
              <w:left w:val="single" w:color="CCCCCC" w:sz="1"/>
              <w:bottom w:val="single" w:color="CCCCCC" w:sz="1"/>
              <w:right w:val="single" w:color="CCCCCC" w:sz="1"/>
            </w:tcBorders>
            <w:shd w:fill="F2F4F8" w:val="clear"/>
            <w:tcMar>
              <w:top w:type="dxa" w:w="80"/>
              <w:left w:type="dxa" w:w="120"/>
              <w:bottom w:type="dxa" w:w="80"/>
              <w:right w:type="dxa" w:w="120"/>
            </w:tcMar>
          </w:tcPr>
          <w:p>
            <w:r>
              <w:rPr>
                <w:rFonts w:ascii="Arial" w:cs="Arial" w:eastAsia="Arial" w:hAnsi="Arial"/>
                <w:color w:val="1A1A1A"/>
                <w:sz w:val="20"/>
                <w:szCs w:val="20"/>
              </w:rPr>
              <w:t xml:space="preserve">Self-dependent</w:t>
            </w:r>
          </w:p>
        </w:tc>
        <w:tc>
          <w:tcPr>
            <w:tcW w:type="dxa" w:w="1949"/>
            <w:tcBorders>
              <w:top w:val="single" w:color="CCCCCC" w:sz="1"/>
              <w:left w:val="single" w:color="CCCCCC" w:sz="1"/>
              <w:bottom w:val="single" w:color="CCCCCC" w:sz="1"/>
              <w:right w:val="single" w:color="CCCCCC" w:sz="1"/>
            </w:tcBorders>
            <w:shd w:fill="F2F4F8" w:val="clear"/>
            <w:tcMar>
              <w:top w:type="dxa" w:w="80"/>
              <w:left w:type="dxa" w:w="120"/>
              <w:bottom w:type="dxa" w:w="80"/>
              <w:right w:type="dxa" w:w="120"/>
            </w:tcMar>
          </w:tcPr>
          <w:p>
            <w:r>
              <w:rPr>
                <w:rFonts w:ascii="Arial" w:cs="Arial" w:eastAsia="Arial" w:hAnsi="Arial"/>
                <w:color w:val="1A1A1A"/>
                <w:sz w:val="20"/>
                <w:szCs w:val="20"/>
              </w:rPr>
              <w:t xml:space="preserve">Moderate</w:t>
            </w:r>
          </w:p>
        </w:tc>
        <w:tc>
          <w:tcPr>
            <w:tcW w:type="dxa" w:w="1949"/>
            <w:tcBorders>
              <w:top w:val="single" w:color="CCCCCC" w:sz="1"/>
              <w:left w:val="single" w:color="CCCCCC" w:sz="1"/>
              <w:bottom w:val="single" w:color="CCCCCC" w:sz="1"/>
              <w:right w:val="single" w:color="CCCCCC" w:sz="1"/>
            </w:tcBorders>
            <w:shd w:fill="F2F4F8" w:val="clear"/>
            <w:tcMar>
              <w:top w:type="dxa" w:w="80"/>
              <w:left w:type="dxa" w:w="120"/>
              <w:bottom w:type="dxa" w:w="80"/>
              <w:right w:type="dxa" w:w="120"/>
            </w:tcMar>
          </w:tcPr>
          <w:p>
            <w:r>
              <w:rPr>
                <w:rFonts w:ascii="Arial" w:cs="Arial" w:eastAsia="Arial" w:hAnsi="Arial"/>
                <w:color w:val="1A1A1A"/>
                <w:sz w:val="20"/>
                <w:szCs w:val="20"/>
              </w:rPr>
              <w:t xml:space="preserve">High (once in)</w:t>
            </w:r>
          </w:p>
        </w:tc>
        <w:tc>
          <w:tcPr>
            <w:tcW w:type="dxa" w:w="1949"/>
            <w:tcBorders>
              <w:top w:val="single" w:color="CCCCCC" w:sz="1"/>
              <w:left w:val="single" w:color="CCCCCC" w:sz="1"/>
              <w:bottom w:val="single" w:color="CCCCCC" w:sz="1"/>
              <w:right w:val="single" w:color="CCCCCC" w:sz="1"/>
            </w:tcBorders>
            <w:shd w:fill="F2F4F8" w:val="clear"/>
            <w:tcMar>
              <w:top w:type="dxa" w:w="80"/>
              <w:left w:type="dxa" w:w="120"/>
              <w:bottom w:type="dxa" w:w="80"/>
              <w:right w:type="dxa" w:w="120"/>
            </w:tcMar>
          </w:tcPr>
          <w:p>
            <w:r>
              <w:rPr>
                <w:rFonts w:ascii="Arial" w:cs="Arial" w:eastAsia="Arial" w:hAnsi="Arial"/>
                <w:color w:val="1A1A1A"/>
                <w:sz w:val="20"/>
                <w:szCs w:val="20"/>
              </w:rPr>
              <w:t xml:space="preserve">Very High</w:t>
            </w:r>
          </w:p>
        </w:tc>
      </w:tr>
      <w:tr>
        <w:tc>
          <w:tcPr>
            <w:tcW w:type="dxa" w:w="1949"/>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1A1A1A"/>
                <w:sz w:val="20"/>
                <w:szCs w:val="20"/>
              </w:rPr>
              <w:t xml:space="preserve">Growth Speed</w:t>
            </w:r>
          </w:p>
        </w:tc>
        <w:tc>
          <w:tcPr>
            <w:tcW w:type="dxa" w:w="1949"/>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1A1A1A"/>
                <w:sz w:val="20"/>
                <w:szCs w:val="20"/>
              </w:rPr>
              <w:t xml:space="preserve">Slow (5-10 yrs)</w:t>
            </w:r>
          </w:p>
        </w:tc>
        <w:tc>
          <w:tcPr>
            <w:tcW w:type="dxa" w:w="1949"/>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1A1A1A"/>
                <w:sz w:val="20"/>
                <w:szCs w:val="20"/>
              </w:rPr>
              <w:t xml:space="preserve">Fast (3-7 yrs)</w:t>
            </w:r>
          </w:p>
        </w:tc>
        <w:tc>
          <w:tcPr>
            <w:tcW w:type="dxa" w:w="1949"/>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1A1A1A"/>
                <w:sz w:val="20"/>
                <w:szCs w:val="20"/>
              </w:rPr>
              <w:t xml:space="preserve">Slow (7-10 yrs)</w:t>
            </w:r>
          </w:p>
        </w:tc>
        <w:tc>
          <w:tcPr>
            <w:tcW w:type="dxa" w:w="1949"/>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1A1A1A"/>
                <w:sz w:val="20"/>
                <w:szCs w:val="20"/>
              </w:rPr>
              <w:t xml:space="preserve">Structured</w:t>
            </w:r>
          </w:p>
        </w:tc>
      </w:tr>
      <w:tr>
        <w:tc>
          <w:tcPr>
            <w:tcW w:type="dxa" w:w="1949"/>
            <w:tcBorders>
              <w:top w:val="single" w:color="CCCCCC" w:sz="1"/>
              <w:left w:val="single" w:color="CCCCCC" w:sz="1"/>
              <w:bottom w:val="single" w:color="CCCCCC" w:sz="1"/>
              <w:right w:val="single" w:color="CCCCCC" w:sz="1"/>
            </w:tcBorders>
            <w:shd w:fill="F2F4F8" w:val="clear"/>
            <w:tcMar>
              <w:top w:type="dxa" w:w="80"/>
              <w:left w:type="dxa" w:w="120"/>
              <w:bottom w:type="dxa" w:w="80"/>
              <w:right w:type="dxa" w:w="120"/>
            </w:tcMar>
          </w:tcPr>
          <w:p>
            <w:r>
              <w:rPr>
                <w:rFonts w:ascii="Arial" w:cs="Arial" w:eastAsia="Arial" w:hAnsi="Arial"/>
                <w:color w:val="1A1A1A"/>
                <w:sz w:val="20"/>
                <w:szCs w:val="20"/>
              </w:rPr>
              <w:t xml:space="preserve">Work-Life Balance</w:t>
            </w:r>
          </w:p>
        </w:tc>
        <w:tc>
          <w:tcPr>
            <w:tcW w:type="dxa" w:w="1949"/>
            <w:tcBorders>
              <w:top w:val="single" w:color="CCCCCC" w:sz="1"/>
              <w:left w:val="single" w:color="CCCCCC" w:sz="1"/>
              <w:bottom w:val="single" w:color="CCCCCC" w:sz="1"/>
              <w:right w:val="single" w:color="CCCCCC" w:sz="1"/>
            </w:tcBorders>
            <w:shd w:fill="F2F4F8" w:val="clear"/>
            <w:tcMar>
              <w:top w:type="dxa" w:w="80"/>
              <w:left w:type="dxa" w:w="120"/>
              <w:bottom w:type="dxa" w:w="80"/>
              <w:right w:type="dxa" w:w="120"/>
            </w:tcMar>
          </w:tcPr>
          <w:p>
            <w:r>
              <w:rPr>
                <w:rFonts w:ascii="Arial" w:cs="Arial" w:eastAsia="Arial" w:hAnsi="Arial"/>
                <w:color w:val="1A1A1A"/>
                <w:sz w:val="20"/>
                <w:szCs w:val="20"/>
              </w:rPr>
              <w:t xml:space="preserve">Difficult</w:t>
            </w:r>
          </w:p>
        </w:tc>
        <w:tc>
          <w:tcPr>
            <w:tcW w:type="dxa" w:w="1949"/>
            <w:tcBorders>
              <w:top w:val="single" w:color="CCCCCC" w:sz="1"/>
              <w:left w:val="single" w:color="CCCCCC" w:sz="1"/>
              <w:bottom w:val="single" w:color="CCCCCC" w:sz="1"/>
              <w:right w:val="single" w:color="CCCCCC" w:sz="1"/>
            </w:tcBorders>
            <w:shd w:fill="F2F4F8" w:val="clear"/>
            <w:tcMar>
              <w:top w:type="dxa" w:w="80"/>
              <w:left w:type="dxa" w:w="120"/>
              <w:bottom w:type="dxa" w:w="80"/>
              <w:right w:type="dxa" w:w="120"/>
            </w:tcMar>
          </w:tcPr>
          <w:p>
            <w:r>
              <w:rPr>
                <w:rFonts w:ascii="Arial" w:cs="Arial" w:eastAsia="Arial" w:hAnsi="Arial"/>
                <w:color w:val="1A1A1A"/>
                <w:sz w:val="20"/>
                <w:szCs w:val="20"/>
              </w:rPr>
              <w:t xml:space="preserve">Demanding</w:t>
            </w:r>
          </w:p>
        </w:tc>
        <w:tc>
          <w:tcPr>
            <w:tcW w:type="dxa" w:w="1949"/>
            <w:tcBorders>
              <w:top w:val="single" w:color="CCCCCC" w:sz="1"/>
              <w:left w:val="single" w:color="CCCCCC" w:sz="1"/>
              <w:bottom w:val="single" w:color="CCCCCC" w:sz="1"/>
              <w:right w:val="single" w:color="CCCCCC" w:sz="1"/>
            </w:tcBorders>
            <w:shd w:fill="F2F4F8" w:val="clear"/>
            <w:tcMar>
              <w:top w:type="dxa" w:w="80"/>
              <w:left w:type="dxa" w:w="120"/>
              <w:bottom w:type="dxa" w:w="80"/>
              <w:right w:type="dxa" w:w="120"/>
            </w:tcMar>
          </w:tcPr>
          <w:p>
            <w:r>
              <w:rPr>
                <w:rFonts w:ascii="Arial" w:cs="Arial" w:eastAsia="Arial" w:hAnsi="Arial"/>
                <w:color w:val="1A1A1A"/>
                <w:sz w:val="20"/>
                <w:szCs w:val="20"/>
              </w:rPr>
              <w:t xml:space="preserve">Good</w:t>
            </w:r>
          </w:p>
        </w:tc>
        <w:tc>
          <w:tcPr>
            <w:tcW w:type="dxa" w:w="1949"/>
            <w:tcBorders>
              <w:top w:val="single" w:color="CCCCCC" w:sz="1"/>
              <w:left w:val="single" w:color="CCCCCC" w:sz="1"/>
              <w:bottom w:val="single" w:color="CCCCCC" w:sz="1"/>
              <w:right w:val="single" w:color="CCCCCC" w:sz="1"/>
            </w:tcBorders>
            <w:shd w:fill="F2F4F8" w:val="clear"/>
            <w:tcMar>
              <w:top w:type="dxa" w:w="80"/>
              <w:left w:type="dxa" w:w="120"/>
              <w:bottom w:type="dxa" w:w="80"/>
              <w:right w:type="dxa" w:w="120"/>
            </w:tcMar>
          </w:tcPr>
          <w:p>
            <w:r>
              <w:rPr>
                <w:rFonts w:ascii="Arial" w:cs="Arial" w:eastAsia="Arial" w:hAnsi="Arial"/>
                <w:color w:val="1A1A1A"/>
                <w:sz w:val="20"/>
                <w:szCs w:val="20"/>
              </w:rPr>
              <w:t xml:space="preserve">Good</w:t>
            </w:r>
          </w:p>
        </w:tc>
      </w:tr>
      <w:tr>
        <w:tc>
          <w:tcPr>
            <w:tcW w:type="dxa" w:w="1949"/>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1A1A1A"/>
                <w:sz w:val="20"/>
                <w:szCs w:val="20"/>
              </w:rPr>
              <w:t xml:space="preserve">Public Impact</w:t>
            </w:r>
          </w:p>
        </w:tc>
        <w:tc>
          <w:tcPr>
            <w:tcW w:type="dxa" w:w="1949"/>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1A1A1A"/>
                <w:sz w:val="20"/>
                <w:szCs w:val="20"/>
              </w:rPr>
              <w:t xml:space="preserve">High</w:t>
            </w:r>
          </w:p>
        </w:tc>
        <w:tc>
          <w:tcPr>
            <w:tcW w:type="dxa" w:w="1949"/>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1A1A1A"/>
                <w:sz w:val="20"/>
                <w:szCs w:val="20"/>
              </w:rPr>
              <w:t xml:space="preserve">Moderate</w:t>
            </w:r>
          </w:p>
        </w:tc>
        <w:tc>
          <w:tcPr>
            <w:tcW w:type="dxa" w:w="1949"/>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1A1A1A"/>
                <w:sz w:val="20"/>
                <w:szCs w:val="20"/>
              </w:rPr>
              <w:t xml:space="preserve">High</w:t>
            </w:r>
          </w:p>
        </w:tc>
        <w:tc>
          <w:tcPr>
            <w:tcW w:type="dxa" w:w="1949"/>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1A1A1A"/>
                <w:sz w:val="20"/>
                <w:szCs w:val="20"/>
              </w:rPr>
              <w:t xml:space="preserve">Very High</w:t>
            </w:r>
          </w:p>
        </w:tc>
      </w:tr>
      <w:tr>
        <w:tc>
          <w:tcPr>
            <w:tcW w:type="dxa" w:w="1949"/>
            <w:tcBorders>
              <w:top w:val="single" w:color="CCCCCC" w:sz="1"/>
              <w:left w:val="single" w:color="CCCCCC" w:sz="1"/>
              <w:bottom w:val="single" w:color="CCCCCC" w:sz="1"/>
              <w:right w:val="single" w:color="CCCCCC" w:sz="1"/>
            </w:tcBorders>
            <w:shd w:fill="F2F4F8" w:val="clear"/>
            <w:tcMar>
              <w:top w:type="dxa" w:w="80"/>
              <w:left w:type="dxa" w:w="120"/>
              <w:bottom w:type="dxa" w:w="80"/>
              <w:right w:type="dxa" w:w="120"/>
            </w:tcMar>
          </w:tcPr>
          <w:p>
            <w:r>
              <w:rPr>
                <w:rFonts w:ascii="Arial" w:cs="Arial" w:eastAsia="Arial" w:hAnsi="Arial"/>
                <w:color w:val="1A1A1A"/>
                <w:sz w:val="20"/>
                <w:szCs w:val="20"/>
              </w:rPr>
              <w:t xml:space="preserve">Skill Focus</w:t>
            </w:r>
          </w:p>
        </w:tc>
        <w:tc>
          <w:tcPr>
            <w:tcW w:type="dxa" w:w="1949"/>
            <w:tcBorders>
              <w:top w:val="single" w:color="CCCCCC" w:sz="1"/>
              <w:left w:val="single" w:color="CCCCCC" w:sz="1"/>
              <w:bottom w:val="single" w:color="CCCCCC" w:sz="1"/>
              <w:right w:val="single" w:color="CCCCCC" w:sz="1"/>
            </w:tcBorders>
            <w:shd w:fill="F2F4F8" w:val="clear"/>
            <w:tcMar>
              <w:top w:type="dxa" w:w="80"/>
              <w:left w:type="dxa" w:w="120"/>
              <w:bottom w:type="dxa" w:w="80"/>
              <w:right w:type="dxa" w:w="120"/>
            </w:tcMar>
          </w:tcPr>
          <w:p>
            <w:r>
              <w:rPr>
                <w:rFonts w:ascii="Arial" w:cs="Arial" w:eastAsia="Arial" w:hAnsi="Arial"/>
                <w:color w:val="1A1A1A"/>
                <w:sz w:val="20"/>
                <w:szCs w:val="20"/>
              </w:rPr>
              <w:t xml:space="preserve">Advocacy</w:t>
            </w:r>
          </w:p>
        </w:tc>
        <w:tc>
          <w:tcPr>
            <w:tcW w:type="dxa" w:w="1949"/>
            <w:tcBorders>
              <w:top w:val="single" w:color="CCCCCC" w:sz="1"/>
              <w:left w:val="single" w:color="CCCCCC" w:sz="1"/>
              <w:bottom w:val="single" w:color="CCCCCC" w:sz="1"/>
              <w:right w:val="single" w:color="CCCCCC" w:sz="1"/>
            </w:tcBorders>
            <w:shd w:fill="F2F4F8" w:val="clear"/>
            <w:tcMar>
              <w:top w:type="dxa" w:w="80"/>
              <w:left w:type="dxa" w:w="120"/>
              <w:bottom w:type="dxa" w:w="80"/>
              <w:right w:type="dxa" w:w="120"/>
            </w:tcMar>
          </w:tcPr>
          <w:p>
            <w:r>
              <w:rPr>
                <w:rFonts w:ascii="Arial" w:cs="Arial" w:eastAsia="Arial" w:hAnsi="Arial"/>
                <w:color w:val="1A1A1A"/>
                <w:sz w:val="20"/>
                <w:szCs w:val="20"/>
              </w:rPr>
              <w:t xml:space="preserve">Drafting/Deal</w:t>
            </w:r>
          </w:p>
        </w:tc>
        <w:tc>
          <w:tcPr>
            <w:tcW w:type="dxa" w:w="1949"/>
            <w:tcBorders>
              <w:top w:val="single" w:color="CCCCCC" w:sz="1"/>
              <w:left w:val="single" w:color="CCCCCC" w:sz="1"/>
              <w:bottom w:val="single" w:color="CCCCCC" w:sz="1"/>
              <w:right w:val="single" w:color="CCCCCC" w:sz="1"/>
            </w:tcBorders>
            <w:shd w:fill="F2F4F8" w:val="clear"/>
            <w:tcMar>
              <w:top w:type="dxa" w:w="80"/>
              <w:left w:type="dxa" w:w="120"/>
              <w:bottom w:type="dxa" w:w="80"/>
              <w:right w:type="dxa" w:w="120"/>
            </w:tcMar>
          </w:tcPr>
          <w:p>
            <w:r>
              <w:rPr>
                <w:rFonts w:ascii="Arial" w:cs="Arial" w:eastAsia="Arial" w:hAnsi="Arial"/>
                <w:color w:val="1A1A1A"/>
                <w:sz w:val="20"/>
                <w:szCs w:val="20"/>
              </w:rPr>
              <w:t xml:space="preserve">Research</w:t>
            </w:r>
          </w:p>
        </w:tc>
        <w:tc>
          <w:tcPr>
            <w:tcW w:type="dxa" w:w="1949"/>
            <w:tcBorders>
              <w:top w:val="single" w:color="CCCCCC" w:sz="1"/>
              <w:left w:val="single" w:color="CCCCCC" w:sz="1"/>
              <w:bottom w:val="single" w:color="CCCCCC" w:sz="1"/>
              <w:right w:val="single" w:color="CCCCCC" w:sz="1"/>
            </w:tcBorders>
            <w:shd w:fill="F2F4F8" w:val="clear"/>
            <w:tcMar>
              <w:top w:type="dxa" w:w="80"/>
              <w:left w:type="dxa" w:w="120"/>
              <w:bottom w:type="dxa" w:w="80"/>
              <w:right w:type="dxa" w:w="120"/>
            </w:tcMar>
          </w:tcPr>
          <w:p>
            <w:r>
              <w:rPr>
                <w:rFonts w:ascii="Arial" w:cs="Arial" w:eastAsia="Arial" w:hAnsi="Arial"/>
                <w:color w:val="1A1A1A"/>
                <w:sz w:val="20"/>
                <w:szCs w:val="20"/>
              </w:rPr>
              <w:t xml:space="preserve">Exams/Admin</w:t>
            </w:r>
          </w:p>
        </w:tc>
      </w:tr>
    </w:tbl>
    <w:p>
      <w:pPr>
        <w:spacing w:after="200"/>
      </w:pPr>
      <w:r>
        <w:rPr>
          <w:sz w:val="12"/>
          <w:szCs w:val="12"/>
        </w:rPr>
        <w:t xml:space="preserve"/>
      </w:r>
    </w:p>
    <w:p>
      <w:pPr>
        <w:shd w:fill="1A2B5E" w:val="clear"/>
        <w:spacing w:before="300" w:after="200"/>
        <w:ind w:left="160" w:right="160"/>
      </w:pPr>
      <w:r>
        <w:rPr>
          <w:rFonts w:ascii="Arial" w:cs="Arial" w:eastAsia="Arial" w:hAnsi="Arial"/>
          <w:b/>
          <w:bCs/>
          <w:color w:val="FFFFFF"/>
          <w:sz w:val="28"/>
          <w:szCs w:val="28"/>
        </w:rPr>
        <w:t xml:space="preserve">NEXT STEPS WITH GURU LEGAL</w:t>
      </w:r>
    </w:p>
    <w:p>
      <w:pPr>
        <w:spacing w:after="80"/>
      </w:pPr>
      <w:r>
        <w:rPr>
          <w:sz w:val="12"/>
          <w:szCs w:val="12"/>
        </w:rPr>
        <w:t xml:space="preserve"/>
      </w:r>
    </w:p>
    <w:p>
      <w:pPr>
        <w:spacing w:after="120"/>
      </w:pPr>
      <w:r>
        <w:rPr>
          <w:rFonts w:ascii="Arial" w:cs="Arial" w:eastAsia="Arial" w:hAnsi="Arial"/>
          <w:color w:val="1A1A1A"/>
          <w:sz w:val="22"/>
          <w:szCs w:val="22"/>
        </w:rPr>
        <w:t xml:space="preserve">Unsure which path is right for you? Guru Legal offers personalised 1-on-1 career counselling sessions where our mentors help you map your strengths to the right legal career.</w:t>
      </w:r>
    </w:p>
    <w:p>
      <w:pPr>
        <w:spacing w:after="80"/>
      </w:pPr>
      <w:r>
        <w:rPr>
          <w:sz w:val="12"/>
          <w:szCs w:val="12"/>
        </w:rPr>
        <w:t xml:space="preserve"/>
      </w:r>
    </w:p>
    <w:p>
      <w:pPr>
        <w:pStyle w:val="ListParagraph"/>
        <w:numPr>
          <w:ilvl w:val="0"/>
          <w:numId w:val="4"/>
        </w:numPr>
        <w:spacing w:after="80"/>
      </w:pPr>
      <w:r>
        <w:rPr>
          <w:rFonts w:ascii="Arial" w:cs="Arial" w:eastAsia="Arial" w:hAnsi="Arial"/>
          <w:color w:val="1A1A1A"/>
          <w:sz w:val="22"/>
          <w:szCs w:val="22"/>
        </w:rPr>
        <w:t xml:space="preserve">Book a 1-on-1 Career Counselling Session: www.gurulegal.in</w:t>
      </w:r>
    </w:p>
    <w:p>
      <w:pPr>
        <w:pStyle w:val="ListParagraph"/>
        <w:numPr>
          <w:ilvl w:val="0"/>
          <w:numId w:val="4"/>
        </w:numPr>
        <w:spacing w:after="80"/>
      </w:pPr>
      <w:r>
        <w:rPr>
          <w:rFonts w:ascii="Arial" w:cs="Arial" w:eastAsia="Arial" w:hAnsi="Arial"/>
          <w:color w:val="1A1A1A"/>
          <w:sz w:val="22"/>
          <w:szCs w:val="22"/>
        </w:rPr>
        <w:t xml:space="preserve">WhatsApp us: +91-7351771555</w:t>
      </w:r>
    </w:p>
    <w:p>
      <w:pPr>
        <w:pStyle w:val="ListParagraph"/>
        <w:numPr>
          <w:ilvl w:val="0"/>
          <w:numId w:val="4"/>
        </w:numPr>
        <w:spacing w:after="80"/>
      </w:pPr>
      <w:r>
        <w:rPr>
          <w:rFonts w:ascii="Arial" w:cs="Arial" w:eastAsia="Arial" w:hAnsi="Arial"/>
          <w:color w:val="1A1A1A"/>
          <w:sz w:val="22"/>
          <w:szCs w:val="22"/>
        </w:rPr>
        <w:t xml:space="preserve">Download more free resources: www.gurulegal.in/free-resources</w:t>
      </w:r>
    </w:p>
    <w:p>
      <w:pPr>
        <w:spacing w:after="80"/>
      </w:pPr>
      <w:r>
        <w:rPr>
          <w:sz w:val="12"/>
          <w:szCs w:val="12"/>
        </w:rPr>
        <w:t xml:space="preserve"/>
      </w:r>
    </w:p>
    <w:sectPr>
      <w:headerReference w:type="default" r:id="rId6"/>
      <w:footerReference w:type="default" r:id="rId7"/>
      <w:pgSz w:w="11906" w:h="16838" w:orient="portrait"/>
      <w:pgMar w:top="1080" w:right="1080" w:bottom="1080" w:left="108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C9A84C" w:sz="4"/>
      </w:pBdr>
      <w:spacing w:before="120"/>
      <w:jc w:val="center"/>
    </w:pPr>
    <w:r>
      <w:rPr>
        <w:rFonts w:ascii="Arial" w:cs="Arial" w:eastAsia="Arial" w:hAnsi="Arial"/>
        <w:color w:val="666666"/>
        <w:sz w:val="16"/>
        <w:szCs w:val="16"/>
      </w:rPr>
      <w:t xml:space="preserve">© 2025 Guru Legal | Free Career Resource | www.gurulegal.in | WhatsApp: +91-7351771555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C9A84C" w:sz="4"/>
      </w:pBdr>
      <w:shd w:fill="1A2B5E" w:val="clear"/>
      <w:spacing w:before="160" w:after="160"/>
      <w:jc w:val="center"/>
    </w:pPr>
    <w:r>
      <w:rPr>
        <w:rFonts w:ascii="Arial" w:cs="Arial" w:eastAsia="Arial" w:hAnsi="Arial"/>
        <w:b/>
        <w:bCs/>
        <w:color w:val="FFFFFF"/>
        <w:sz w:val="18"/>
        <w:szCs w:val="18"/>
      </w:rPr>
      <w:t xml:space="preserve">GURU LEGAL</w:t>
    </w:r>
    <w:r>
      <w:rPr>
        <w:rFonts w:ascii="Arial" w:cs="Arial" w:eastAsia="Arial" w:hAnsi="Arial"/>
        <w:color w:val="C9A84C"/>
        <w:sz w:val="18"/>
        <w:szCs w:val="18"/>
      </w:rPr>
      <w:t xml:space="preserve">   |   </w:t>
    </w:r>
    <w:r>
      <w:rPr>
        <w:rFonts w:ascii="Arial" w:cs="Arial" w:eastAsia="Arial" w:hAnsi="Arial"/>
        <w:color w:val="F5E6C3"/>
        <w:sz w:val="18"/>
        <w:szCs w:val="18"/>
      </w:rPr>
      <w:t xml:space="preserve">gurulegal.in</w:t>
    </w:r>
    <w:r>
      <w:rPr>
        <w:rFonts w:ascii="Arial" w:cs="Arial" w:eastAsia="Arial" w:hAnsi="Arial"/>
        <w:color w:val="C9A84C"/>
        <w:sz w:val="18"/>
        <w:szCs w:val="18"/>
      </w:rPr>
      <w:t xml:space="preserve">   |   </w:t>
    </w:r>
    <w:r>
      <w:rPr>
        <w:rFonts w:ascii="Arial" w:cs="Arial" w:eastAsia="Arial" w:hAnsi="Arial"/>
        <w:color w:val="F5E6C3"/>
        <w:sz w:val="18"/>
        <w:szCs w:val="18"/>
      </w:rPr>
      <w:t xml:space="preserve">+91-7351771555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60" w:hanging="280"/>
      </w:pPr>
    </w:lvl>
  </w:abstractNum>
  <w:abstractNum w:abstractNumId="3" w15:restartNumberingAfterBreak="0">
    <w:multiLevelType w:val="hybridMultilevel"/>
    <w:lvl w:ilvl="0" w15:tentative="1">
      <w:start w:val="1"/>
      <w:numFmt w:val="decimal"/>
      <w:lvlText w:val="%1."/>
      <w:lvlJc w:val="left"/>
      <w:pPr>
        <w:ind w:left="560" w:hanging="280"/>
      </w:pPr>
    </w:lvl>
  </w:abstractNum>
  <w:abstractNum w:abstractNumId="4" w15:restartNumberingAfterBreak="0">
    <w:multiLevelType w:val="hybridMultilevel"/>
    <w:lvl w:ilvl="0" w15:tentative="1">
      <w:start w:val="1"/>
      <w:numFmt w:val="bullet"/>
      <w:lvlText w:val="☐"/>
      <w:lvlJc w:val="left"/>
      <w:pPr>
        <w:ind w:left="560" w:hanging="280"/>
      </w:pPr>
    </w:lvl>
  </w:abstractNum>
  <w:abstractNum w:abstractNumId="5" w15:restartNumberingAfterBreak="0">
    <w:multiLevelType w:val="hybridMultilevel"/>
    <w:lvl w:ilvl="0" w15:tentative="1">
      <w:start w:val="1"/>
      <w:numFmt w:val="bullet"/>
      <w:lvlText w:val="→"/>
      <w:lvlJc w:val="left"/>
      <w:pPr>
        <w:ind w:left="560" w:hanging="280"/>
      </w:pPr>
    </w:lvl>
  </w:abstractNum>
  <w:num w:numId="1">
    <w:abstractNumId w:val="1"/>
    <w:lvlOverride w:ilvl="0">
      <w:startOverride w:val="1"/>
    </w:lvlOverride>
  </w:num>
  <w:num w:numId="2">
    <w:abstractNumId w:val="2"/>
    <w:lvlOverride w:ilvl="0">
      <w:startOverride w:val="1"/>
    </w:lvlOverride>
  </w:num>
  <w:num w:numId="3">
    <w:abstractNumId w:val="3"/>
    <w:lvlOverride w:ilvl="0">
      <w:startOverride w:val="1"/>
    </w:lvlOverride>
  </w:num>
  <w:num w:numId="4">
    <w:abstractNumId w:val="5"/>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2026-02-18T19:57:16.267Z</dcterms:created>
  <dcterms:modified xsi:type="dcterms:W3CDTF">2026-02-18T19:57:16.269Z</dcterms:modified>
</cp:coreProperties>
</file>

<file path=docProps/custom.xml><?xml version="1.0" encoding="utf-8"?>
<Properties xmlns="http://schemas.openxmlformats.org/officeDocument/2006/custom-properties" xmlns:vt="http://schemas.openxmlformats.org/officeDocument/2006/docPropsVTypes"/>
</file>