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0"/>
      </w:pPr>
      <w:r>
        <w:rPr>
          <w:sz w:val="24"/>
          <w:szCs w:val="24"/>
        </w:rPr>
        <w:t xml:space="preserve"/>
      </w:r>
    </w:p>
    <w:p>
      <w:pPr>
        <w:spacing w:after="200"/>
        <w:jc w:val="center"/>
      </w:pPr>
      <w:r>
        <w:rPr>
          <w:rFonts w:ascii="Arial" w:cs="Arial" w:eastAsia="Arial" w:hAnsi="Arial"/>
          <w:b/>
          <w:bCs/>
          <w:caps/>
          <w:color w:val="C9A84C"/>
          <w:sz w:val="22"/>
          <w:szCs w:val="22"/>
        </w:rPr>
        <w:t xml:space="preserve">GURU LEGAL PRESENTS</w:t>
      </w:r>
    </w:p>
    <w:p>
      <w:pPr>
        <w:shd w:fill="1A2B5E" w:val="clear"/>
        <w:spacing w:before="200" w:after="200"/>
        <w:ind w:left="0" w:right="0"/>
        <w:jc w:val="center"/>
      </w:pPr>
      <w:r>
        <w:rPr>
          <w:rFonts w:ascii="Arial" w:cs="Arial" w:eastAsia="Arial" w:hAnsi="Arial"/>
          <w:b/>
          <w:bCs/>
          <w:color w:val="FFFFFF"/>
          <w:sz w:val="52"/>
          <w:szCs w:val="52"/>
        </w:rPr>
        <w:t xml:space="preserve">Legal Career Roadmap</w:t>
      </w:r>
    </w:p>
    <w:p>
      <w:pPr>
        <w:spacing w:before="200" w:after="300"/>
        <w:jc w:val="center"/>
      </w:pPr>
      <w:r>
        <w:rPr>
          <w:rFonts w:ascii="Arial" w:cs="Arial" w:eastAsia="Arial" w:hAnsi="Arial"/>
          <w:b/>
          <w:bCs/>
          <w:color w:val="1A2B5E"/>
          <w:sz w:val="28"/>
          <w:szCs w:val="28"/>
        </w:rPr>
        <w:t xml:space="preserve">1st Year to Final Year — Year-by-Year Action Plan</w:t>
      </w:r>
    </w:p>
    <w:p>
      <w:pPr>
        <w:spacing w:after="400"/>
        <w:jc w:val="center"/>
      </w:pPr>
      <w:r>
        <w:rPr>
          <w:rFonts w:ascii="Arial" w:cs="Arial" w:eastAsia="Arial" w:hAnsi="Arial"/>
          <w:i/>
          <w:iCs/>
          <w:color w:val="1A1A1A"/>
          <w:sz w:val="22"/>
          <w:szCs w:val="22"/>
        </w:rPr>
        <w:t xml:space="preserve">Your complete semester-wise guide to building a strong legal career from Day 1 of law school</w:t>
      </w:r>
    </w:p>
    <w:p>
      <w:pPr>
        <w:shd w:fill="C9A84C" w:val="clear"/>
        <w:spacing w:before="200" w:after="200"/>
        <w:jc w:val="center"/>
      </w:pPr>
      <w:r>
        <w:rPr>
          <w:rFonts w:ascii="Arial" w:cs="Arial" w:eastAsia="Arial" w:hAnsi="Arial"/>
          <w:b/>
          <w:bCs/>
          <w:color w:val="FFFFFF"/>
          <w:sz w:val="20"/>
          <w:szCs w:val="20"/>
        </w:rPr>
        <w:t xml:space="preserve">FREE DOWNLOADABLE RESOURCE</w:t>
      </w:r>
    </w:p>
    <w:p>
      <w:r>
        <w:br w:type="page"/>
      </w:r>
    </w:p>
    <w:p>
      <w:pPr>
        <w:shd w:fill="1A2B5E" w:val="clear"/>
        <w:spacing w:before="300" w:after="200"/>
        <w:ind w:left="160" w:right="160"/>
      </w:pPr>
      <w:r>
        <w:rPr>
          <w:rFonts w:ascii="Arial" w:cs="Arial" w:eastAsia="Arial" w:hAnsi="Arial"/>
          <w:b/>
          <w:bCs/>
          <w:color w:val="FFFFFF"/>
          <w:sz w:val="28"/>
          <w:szCs w:val="28"/>
        </w:rPr>
        <w:t xml:space="preserve">HOW TO USE THIS ROADMAP</w:t>
      </w:r>
    </w:p>
    <w:p>
      <w:pPr>
        <w:spacing w:after="80"/>
      </w:pPr>
      <w:r>
        <w:rPr>
          <w:sz w:val="12"/>
          <w:szCs w:val="12"/>
        </w:rPr>
        <w:t xml:space="preserve"/>
      </w:r>
    </w:p>
    <w:p>
      <w:pPr>
        <w:spacing w:after="12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This roadmap is designed for students in a 5-year integrated BA LLB / BBA LLB / BSc LLB programme, but is equally applicable to 3-year LLB students (compress accordingly). Each year has specific goals, action items, and milestones. Use this as your annual checklist.</w:t>
      </w:r>
    </w:p>
    <w:p>
      <w:pPr>
        <w:spacing w:after="200"/>
      </w:pPr>
      <w:r>
        <w:rPr>
          <w:sz w:val="12"/>
          <w:szCs w:val="12"/>
        </w:rPr>
        <w:t xml:space="preserve"/>
      </w:r>
    </w:p>
    <w:p>
      <w:pPr>
        <w:shd w:fill="1A2B5E" w:val="clear"/>
        <w:spacing w:before="300" w:after="200"/>
        <w:ind w:left="160" w:right="160"/>
      </w:pPr>
      <w:r>
        <w:rPr>
          <w:rFonts w:ascii="Arial" w:cs="Arial" w:eastAsia="Arial" w:hAnsi="Arial"/>
          <w:b/>
          <w:bCs/>
          <w:color w:val="FFFFFF"/>
          <w:sz w:val="28"/>
          <w:szCs w:val="28"/>
        </w:rPr>
        <w:t xml:space="preserve">YEAR 1 — ORIENTATION &amp; FOUNDATION</w:t>
      </w:r>
    </w:p>
    <w:p>
      <w:pPr>
        <w:spacing w:after="80"/>
      </w:pPr>
      <w:r>
        <w:rPr>
          <w:sz w:val="12"/>
          <w:szCs w:val="12"/>
        </w:rPr>
        <w:t xml:space="preserve"/>
      </w:r>
    </w:p>
    <w:tbl>
      <w:tblPr>
        <w:tblW w:type="dxa" w:w="974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746"/>
      </w:tblGrid>
      <w:tr>
        <w:tc>
          <w:tcPr>
            <w:tcW w:type="dxa" w:w="9746"/>
            <w:tcBorders>
              <w:top w:val="single" w:color="C9A84C" w:sz="4"/>
              <w:left w:val="single" w:color="C9A84C" w:sz="12"/>
              <w:bottom w:val="single" w:color="C9A84C" w:sz="4"/>
              <w:right w:val="none" w:color="FFFFFF" w:sz="0"/>
            </w:tcBorders>
            <w:shd w:fill="F5E6C3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1A2B5E"/>
                <w:sz w:val="22"/>
                <w:szCs w:val="22"/>
              </w:rPr>
              <w:t xml:space="preserve">Year 1 Goal:</w:t>
            </w:r>
          </w:p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Understand the legal system, build foundational knowledge, and find your bearings in law school.</w:t>
            </w:r>
          </w:p>
        </w:tc>
      </w:tr>
    </w:tbl>
    <w:p>
      <w:pPr>
        <w:spacing w:after="80"/>
      </w:pPr>
      <w:r>
        <w:rPr>
          <w:sz w:val="12"/>
          <w:szCs w:val="12"/>
        </w:rPr>
        <w:t xml:space="preserve"/>
      </w:r>
    </w:p>
    <w:p>
      <w:pPr>
        <w:pBdr>
          <w:bottom w:val="single" w:color="C9A84C" w:sz="2"/>
        </w:pBdr>
        <w:spacing w:before="240" w:after="120"/>
      </w:pPr>
      <w:r>
        <w:rPr>
          <w:rFonts w:ascii="Arial" w:cs="Arial" w:eastAsia="Arial" w:hAnsi="Arial"/>
          <w:b/>
          <w:bCs/>
          <w:color w:val="1A2B5E"/>
          <w:sz w:val="24"/>
          <w:szCs w:val="24"/>
        </w:rPr>
        <w:t xml:space="preserve">Academic Priorities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Focus on core subjects: Law of Contract, Constitutional Law, Legal Methods, Jurisprudence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Develop good reading habits — read judgments, not just textbooks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Attend all classes and build relationships with faculty</w:t>
      </w:r>
    </w:p>
    <w:p>
      <w:pPr>
        <w:spacing w:after="80"/>
      </w:pPr>
      <w:r>
        <w:rPr>
          <w:sz w:val="12"/>
          <w:szCs w:val="12"/>
        </w:rPr>
        <w:t xml:space="preserve"/>
      </w:r>
    </w:p>
    <w:p>
      <w:pPr>
        <w:pBdr>
          <w:bottom w:val="single" w:color="C9A84C" w:sz="2"/>
        </w:pBdr>
        <w:spacing w:before="240" w:after="120"/>
      </w:pPr>
      <w:r>
        <w:rPr>
          <w:rFonts w:ascii="Arial" w:cs="Arial" w:eastAsia="Arial" w:hAnsi="Arial"/>
          <w:b/>
          <w:bCs/>
          <w:color w:val="1A2B5E"/>
          <w:sz w:val="24"/>
          <w:szCs w:val="24"/>
        </w:rPr>
        <w:t xml:space="preserve">Practical Steps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Attend at least one moot court observation or legal aid camp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Join a legal society or editorial board in your college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Do one summer internship (district court or chamber)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Create a LinkedIn profile and start following legal professionals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Read one legal judgment per week</w:t>
      </w:r>
    </w:p>
    <w:p>
      <w:pPr>
        <w:spacing w:after="200"/>
      </w:pPr>
      <w:r>
        <w:rPr>
          <w:sz w:val="12"/>
          <w:szCs w:val="12"/>
        </w:rPr>
        <w:t xml:space="preserve"/>
      </w:r>
    </w:p>
    <w:p>
      <w:pPr>
        <w:shd w:fill="1A2B5E" w:val="clear"/>
        <w:spacing w:before="300" w:after="200"/>
        <w:ind w:left="160" w:right="160"/>
      </w:pPr>
      <w:r>
        <w:rPr>
          <w:rFonts w:ascii="Arial" w:cs="Arial" w:eastAsia="Arial" w:hAnsi="Arial"/>
          <w:b/>
          <w:bCs/>
          <w:color w:val="FFFFFF"/>
          <w:sz w:val="28"/>
          <w:szCs w:val="28"/>
        </w:rPr>
        <w:t xml:space="preserve">YEAR 2 — EXPLORATION &amp; EXPOSURE</w:t>
      </w:r>
    </w:p>
    <w:p>
      <w:pPr>
        <w:spacing w:after="80"/>
      </w:pPr>
      <w:r>
        <w:rPr>
          <w:sz w:val="12"/>
          <w:szCs w:val="12"/>
        </w:rPr>
        <w:t xml:space="preserve"/>
      </w:r>
    </w:p>
    <w:tbl>
      <w:tblPr>
        <w:tblW w:type="dxa" w:w="974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746"/>
      </w:tblGrid>
      <w:tr>
        <w:tc>
          <w:tcPr>
            <w:tcW w:type="dxa" w:w="9746"/>
            <w:tcBorders>
              <w:top w:val="single" w:color="C9A84C" w:sz="4"/>
              <w:left w:val="single" w:color="C9A84C" w:sz="12"/>
              <w:bottom w:val="single" w:color="C9A84C" w:sz="4"/>
              <w:right w:val="none" w:color="FFFFFF" w:sz="0"/>
            </w:tcBorders>
            <w:shd w:fill="F5E6C3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1A2B5E"/>
                <w:sz w:val="22"/>
                <w:szCs w:val="22"/>
              </w:rPr>
              <w:t xml:space="preserve">Year 2 Goal:</w:t>
            </w:r>
          </w:p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Explore different areas of law and gain practical exposure through internships and mooting.</w:t>
            </w:r>
          </w:p>
        </w:tc>
      </w:tr>
    </w:tbl>
    <w:p>
      <w:pPr>
        <w:spacing w:after="80"/>
      </w:pPr>
      <w:r>
        <w:rPr>
          <w:sz w:val="12"/>
          <w:szCs w:val="12"/>
        </w:rPr>
        <w:t xml:space="preserve"/>
      </w:r>
    </w:p>
    <w:p>
      <w:pPr>
        <w:pBdr>
          <w:bottom w:val="single" w:color="C9A84C" w:sz="2"/>
        </w:pBdr>
        <w:spacing w:before="240" w:after="120"/>
      </w:pPr>
      <w:r>
        <w:rPr>
          <w:rFonts w:ascii="Arial" w:cs="Arial" w:eastAsia="Arial" w:hAnsi="Arial"/>
          <w:b/>
          <w:bCs/>
          <w:color w:val="1A2B5E"/>
          <w:sz w:val="24"/>
          <w:szCs w:val="24"/>
        </w:rPr>
        <w:t xml:space="preserve">Academic Priorities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Begin identifying your areas of interest (corporate vs. litigation vs. others)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Study Company Law, Criminal Law, Family Law, CPC, CrPC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Start maintaining a personal case-note diary</w:t>
      </w:r>
    </w:p>
    <w:p>
      <w:pPr>
        <w:spacing w:after="80"/>
      </w:pPr>
      <w:r>
        <w:rPr>
          <w:sz w:val="12"/>
          <w:szCs w:val="12"/>
        </w:rPr>
        <w:t xml:space="preserve"/>
      </w:r>
    </w:p>
    <w:p>
      <w:pPr>
        <w:pBdr>
          <w:bottom w:val="single" w:color="C9A84C" w:sz="2"/>
        </w:pBdr>
        <w:spacing w:before="240" w:after="120"/>
      </w:pPr>
      <w:r>
        <w:rPr>
          <w:rFonts w:ascii="Arial" w:cs="Arial" w:eastAsia="Arial" w:hAnsi="Arial"/>
          <w:b/>
          <w:bCs/>
          <w:color w:val="1A2B5E"/>
          <w:sz w:val="24"/>
          <w:szCs w:val="24"/>
        </w:rPr>
        <w:t xml:space="preserve">Practical Steps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Participate in your first moot court competition (intra-college)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Do a corporate law firm internship (even unpaid — for exposure)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Publish a blog post or case comment on a legal platform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Attend a seminar or webinar on a current legal issue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Begin building your CV with internships and activities</w:t>
      </w:r>
    </w:p>
    <w:p>
      <w:pPr>
        <w:spacing w:after="200"/>
      </w:pPr>
      <w:r>
        <w:rPr>
          <w:sz w:val="12"/>
          <w:szCs w:val="12"/>
        </w:rPr>
        <w:t xml:space="preserve"/>
      </w:r>
    </w:p>
    <w:p>
      <w:pPr>
        <w:shd w:fill="1A2B5E" w:val="clear"/>
        <w:spacing w:before="300" w:after="200"/>
        <w:ind w:left="160" w:right="160"/>
      </w:pPr>
      <w:r>
        <w:rPr>
          <w:rFonts w:ascii="Arial" w:cs="Arial" w:eastAsia="Arial" w:hAnsi="Arial"/>
          <w:b/>
          <w:bCs/>
          <w:color w:val="FFFFFF"/>
          <w:sz w:val="28"/>
          <w:szCs w:val="28"/>
        </w:rPr>
        <w:t xml:space="preserve">YEAR 3 — DEPTH &amp; DIRECTION</w:t>
      </w:r>
    </w:p>
    <w:p>
      <w:pPr>
        <w:spacing w:after="80"/>
      </w:pPr>
      <w:r>
        <w:rPr>
          <w:sz w:val="12"/>
          <w:szCs w:val="12"/>
        </w:rPr>
        <w:t xml:space="preserve"/>
      </w:r>
    </w:p>
    <w:tbl>
      <w:tblPr>
        <w:tblW w:type="dxa" w:w="974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746"/>
      </w:tblGrid>
      <w:tr>
        <w:tc>
          <w:tcPr>
            <w:tcW w:type="dxa" w:w="9746"/>
            <w:tcBorders>
              <w:top w:val="single" w:color="C9A84C" w:sz="4"/>
              <w:left w:val="single" w:color="C9A84C" w:sz="12"/>
              <w:bottom w:val="single" w:color="C9A84C" w:sz="4"/>
              <w:right w:val="none" w:color="FFFFFF" w:sz="0"/>
            </w:tcBorders>
            <w:shd w:fill="F5E6C3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1A2B5E"/>
                <w:sz w:val="22"/>
                <w:szCs w:val="22"/>
              </w:rPr>
              <w:t xml:space="preserve">Year 3 Goal:</w:t>
            </w:r>
          </w:p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Choose a direction, develop expertise in 1-2 areas, and build a visible profile.</w:t>
            </w:r>
          </w:p>
        </w:tc>
      </w:tr>
    </w:tbl>
    <w:p>
      <w:pPr>
        <w:spacing w:after="80"/>
      </w:pPr>
      <w:r>
        <w:rPr>
          <w:sz w:val="12"/>
          <w:szCs w:val="12"/>
        </w:rPr>
        <w:t xml:space="preserve"/>
      </w:r>
    </w:p>
    <w:p>
      <w:pPr>
        <w:pBdr>
          <w:bottom w:val="single" w:color="C9A84C" w:sz="2"/>
        </w:pBdr>
        <w:spacing w:before="240" w:after="120"/>
      </w:pPr>
      <w:r>
        <w:rPr>
          <w:rFonts w:ascii="Arial" w:cs="Arial" w:eastAsia="Arial" w:hAnsi="Arial"/>
          <w:b/>
          <w:bCs/>
          <w:color w:val="1A2B5E"/>
          <w:sz w:val="24"/>
          <w:szCs w:val="24"/>
        </w:rPr>
        <w:t xml:space="preserve">Academic Priorities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Choose electives strategically based on your career direction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Study IPR, Tax, Labour Law, or International Law depending on interest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Target top grades in your chosen specialisation subjects</w:t>
      </w:r>
    </w:p>
    <w:p>
      <w:pPr>
        <w:spacing w:after="80"/>
      </w:pPr>
      <w:r>
        <w:rPr>
          <w:sz w:val="12"/>
          <w:szCs w:val="12"/>
        </w:rPr>
        <w:t xml:space="preserve"/>
      </w:r>
    </w:p>
    <w:p>
      <w:pPr>
        <w:pBdr>
          <w:bottom w:val="single" w:color="C9A84C" w:sz="2"/>
        </w:pBdr>
        <w:spacing w:before="240" w:after="120"/>
      </w:pPr>
      <w:r>
        <w:rPr>
          <w:rFonts w:ascii="Arial" w:cs="Arial" w:eastAsia="Arial" w:hAnsi="Arial"/>
          <w:b/>
          <w:bCs/>
          <w:color w:val="1A2B5E"/>
          <w:sz w:val="24"/>
          <w:szCs w:val="24"/>
        </w:rPr>
        <w:t xml:space="preserve">Practical Steps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Participate in at least 2 moot court competitions (inter-college / national)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Publish an article in a recognised law journal (SSRN / peer-reviewed)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Do an internship in your chosen area (not just any internship)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Start following judicial services prep if government track interests you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Build a consistent LinkedIn presence — post weekly</w:t>
      </w:r>
    </w:p>
    <w:p>
      <w:pPr>
        <w:spacing w:after="200"/>
      </w:pPr>
      <w:r>
        <w:rPr>
          <w:sz w:val="12"/>
          <w:szCs w:val="12"/>
        </w:rPr>
        <w:t xml:space="preserve"/>
      </w:r>
    </w:p>
    <w:p>
      <w:pPr>
        <w:shd w:fill="1A2B5E" w:val="clear"/>
        <w:spacing w:before="300" w:after="200"/>
        <w:ind w:left="160" w:right="160"/>
      </w:pPr>
      <w:r>
        <w:rPr>
          <w:rFonts w:ascii="Arial" w:cs="Arial" w:eastAsia="Arial" w:hAnsi="Arial"/>
          <w:b/>
          <w:bCs/>
          <w:color w:val="FFFFFF"/>
          <w:sz w:val="28"/>
          <w:szCs w:val="28"/>
        </w:rPr>
        <w:t xml:space="preserve">YEAR 4 — PROFILE BUILDING &amp; COMPETITIVE PREP</w:t>
      </w:r>
    </w:p>
    <w:p>
      <w:pPr>
        <w:spacing w:after="80"/>
      </w:pPr>
      <w:r>
        <w:rPr>
          <w:sz w:val="12"/>
          <w:szCs w:val="12"/>
        </w:rPr>
        <w:t xml:space="preserve"/>
      </w:r>
    </w:p>
    <w:tbl>
      <w:tblPr>
        <w:tblW w:type="dxa" w:w="974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746"/>
      </w:tblGrid>
      <w:tr>
        <w:tc>
          <w:tcPr>
            <w:tcW w:type="dxa" w:w="9746"/>
            <w:tcBorders>
              <w:top w:val="single" w:color="C9A84C" w:sz="4"/>
              <w:left w:val="single" w:color="C9A84C" w:sz="12"/>
              <w:bottom w:val="single" w:color="C9A84C" w:sz="4"/>
              <w:right w:val="none" w:color="FFFFFF" w:sz="0"/>
            </w:tcBorders>
            <w:shd w:fill="F5E6C3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1A2B5E"/>
                <w:sz w:val="22"/>
                <w:szCs w:val="22"/>
              </w:rPr>
              <w:t xml:space="preserve">Year 4 Goal:</w:t>
            </w:r>
          </w:p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Strengthen your CV, build legal networks, and begin targeted preparation for your post-graduation path.</w:t>
            </w:r>
          </w:p>
        </w:tc>
      </w:tr>
    </w:tbl>
    <w:p>
      <w:pPr>
        <w:spacing w:after="80"/>
      </w:pPr>
      <w:r>
        <w:rPr>
          <w:sz w:val="12"/>
          <w:szCs w:val="12"/>
        </w:rPr>
        <w:t xml:space="preserve"/>
      </w:r>
    </w:p>
    <w:p>
      <w:pPr>
        <w:pBdr>
          <w:bottom w:val="single" w:color="C9A84C" w:sz="2"/>
        </w:pBdr>
        <w:spacing w:before="240" w:after="120"/>
      </w:pPr>
      <w:r>
        <w:rPr>
          <w:rFonts w:ascii="Arial" w:cs="Arial" w:eastAsia="Arial" w:hAnsi="Arial"/>
          <w:b/>
          <w:bCs/>
          <w:color w:val="1A2B5E"/>
          <w:sz w:val="24"/>
          <w:szCs w:val="24"/>
        </w:rPr>
        <w:t xml:space="preserve">Academic Priorities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Maintain CGPA — critical for law firm placements and LLM applications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Work on dissertation/thesis if offered — choose a niche topic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Study for competitive exams if on the government/judicial track</w:t>
      </w:r>
    </w:p>
    <w:p>
      <w:pPr>
        <w:spacing w:after="80"/>
      </w:pPr>
      <w:r>
        <w:rPr>
          <w:sz w:val="12"/>
          <w:szCs w:val="12"/>
        </w:rPr>
        <w:t xml:space="preserve"/>
      </w:r>
    </w:p>
    <w:p>
      <w:pPr>
        <w:pBdr>
          <w:bottom w:val="single" w:color="C9A84C" w:sz="2"/>
        </w:pBdr>
        <w:spacing w:before="240" w:after="120"/>
      </w:pPr>
      <w:r>
        <w:rPr>
          <w:rFonts w:ascii="Arial" w:cs="Arial" w:eastAsia="Arial" w:hAnsi="Arial"/>
          <w:b/>
          <w:bCs/>
          <w:color w:val="1A2B5E"/>
          <w:sz w:val="24"/>
          <w:szCs w:val="24"/>
        </w:rPr>
        <w:t xml:space="preserve">Practical Steps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Target a Tier 1 or Tier 2 law firm for a substantial internship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Apply for international or national arbitration moot competitions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Attend bar association events and alumni networking sessions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If planning LLM abroad, start preparing for TOEFL/IELTS and begin applications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Book a career counselling session — map your final year and post-graduation plan</w:t>
      </w:r>
    </w:p>
    <w:p>
      <w:pPr>
        <w:spacing w:after="200"/>
      </w:pPr>
      <w:r>
        <w:rPr>
          <w:sz w:val="12"/>
          <w:szCs w:val="12"/>
        </w:rPr>
        <w:t xml:space="preserve"/>
      </w:r>
    </w:p>
    <w:p>
      <w:pPr>
        <w:shd w:fill="1A2B5E" w:val="clear"/>
        <w:spacing w:before="300" w:after="200"/>
        <w:ind w:left="160" w:right="160"/>
      </w:pPr>
      <w:r>
        <w:rPr>
          <w:rFonts w:ascii="Arial" w:cs="Arial" w:eastAsia="Arial" w:hAnsi="Arial"/>
          <w:b/>
          <w:bCs/>
          <w:color w:val="FFFFFF"/>
          <w:sz w:val="28"/>
          <w:szCs w:val="28"/>
        </w:rPr>
        <w:t xml:space="preserve">YEAR 5 — TRANSITION &amp; LAUNCH</w:t>
      </w:r>
    </w:p>
    <w:p>
      <w:pPr>
        <w:spacing w:after="80"/>
      </w:pPr>
      <w:r>
        <w:rPr>
          <w:sz w:val="12"/>
          <w:szCs w:val="12"/>
        </w:rPr>
        <w:t xml:space="preserve"/>
      </w:r>
    </w:p>
    <w:tbl>
      <w:tblPr>
        <w:tblW w:type="dxa" w:w="974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746"/>
      </w:tblGrid>
      <w:tr>
        <w:tc>
          <w:tcPr>
            <w:tcW w:type="dxa" w:w="9746"/>
            <w:tcBorders>
              <w:top w:val="single" w:color="C9A84C" w:sz="4"/>
              <w:left w:val="single" w:color="C9A84C" w:sz="12"/>
              <w:bottom w:val="single" w:color="C9A84C" w:sz="4"/>
              <w:right w:val="none" w:color="FFFFFF" w:sz="0"/>
            </w:tcBorders>
            <w:shd w:fill="F5E6C3" w:val="clear"/>
            <w:tcMar>
              <w:top w:type="dxa" w:w="120"/>
              <w:left w:type="dxa" w:w="200"/>
              <w:bottom w:type="dxa" w:w="12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1A2B5E"/>
                <w:sz w:val="22"/>
                <w:szCs w:val="22"/>
              </w:rPr>
              <w:t xml:space="preserve">Year 5 Goal:</w:t>
            </w:r>
          </w:p>
          <w:p>
            <w:r>
              <w:rPr>
                <w:rFonts w:ascii="Arial" w:cs="Arial" w:eastAsia="Arial" w:hAnsi="Arial"/>
                <w:color w:val="1A1A1A"/>
                <w:sz w:val="22"/>
                <w:szCs w:val="22"/>
              </w:rPr>
              <w:t xml:space="preserve">Transition from student to legal professional — secure your first placement, pupillage, or exam seat.</w:t>
            </w:r>
          </w:p>
        </w:tc>
      </w:tr>
    </w:tbl>
    <w:p>
      <w:pPr>
        <w:spacing w:after="80"/>
      </w:pPr>
      <w:r>
        <w:rPr>
          <w:sz w:val="12"/>
          <w:szCs w:val="12"/>
        </w:rPr>
        <w:t xml:space="preserve"/>
      </w:r>
    </w:p>
    <w:p>
      <w:pPr>
        <w:pBdr>
          <w:bottom w:val="single" w:color="C9A84C" w:sz="2"/>
        </w:pBdr>
        <w:spacing w:before="240" w:after="120"/>
      </w:pPr>
      <w:r>
        <w:rPr>
          <w:rFonts w:ascii="Arial" w:cs="Arial" w:eastAsia="Arial" w:hAnsi="Arial"/>
          <w:b/>
          <w:bCs/>
          <w:color w:val="1A2B5E"/>
          <w:sz w:val="24"/>
          <w:szCs w:val="24"/>
        </w:rPr>
        <w:t xml:space="preserve">Academic Priorities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Complete dissertation and all pending academic requirements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Prepare for Bar Exam (AIBE — All India Bar Examination)</w:t>
      </w:r>
    </w:p>
    <w:p>
      <w:pPr>
        <w:spacing w:after="80"/>
      </w:pPr>
      <w:r>
        <w:rPr>
          <w:sz w:val="12"/>
          <w:szCs w:val="12"/>
        </w:rPr>
        <w:t xml:space="preserve"/>
      </w:r>
    </w:p>
    <w:p>
      <w:pPr>
        <w:pBdr>
          <w:bottom w:val="single" w:color="C9A84C" w:sz="2"/>
        </w:pBdr>
        <w:spacing w:before="240" w:after="120"/>
      </w:pPr>
      <w:r>
        <w:rPr>
          <w:rFonts w:ascii="Arial" w:cs="Arial" w:eastAsia="Arial" w:hAnsi="Arial"/>
          <w:b/>
          <w:bCs/>
          <w:color w:val="1A2B5E"/>
          <w:sz w:val="24"/>
          <w:szCs w:val="24"/>
        </w:rPr>
        <w:t xml:space="preserve">Practical Steps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For Corporate Path: Secure Pre-Placement Offer (PPO) or apply to law firms directly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For Litigation Path: Finalise your chamber and begin full-time pupillage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For Judicial Services: Appear in State Judicial Services Prelims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For LLM: Submit applications, secure scholarships, prepare for interviews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Complete AIBE registration and preparation</w:t>
      </w:r>
    </w:p>
    <w:p>
      <w:pPr>
        <w:spacing w:after="200"/>
      </w:pPr>
      <w:r>
        <w:rPr>
          <w:sz w:val="12"/>
          <w:szCs w:val="12"/>
        </w:rPr>
        <w:t xml:space="preserve"/>
      </w:r>
    </w:p>
    <w:p>
      <w:pPr>
        <w:shd w:fill="1A2B5E" w:val="clear"/>
        <w:spacing w:before="300" w:after="200"/>
        <w:ind w:left="160" w:right="160"/>
      </w:pPr>
      <w:r>
        <w:rPr>
          <w:rFonts w:ascii="Arial" w:cs="Arial" w:eastAsia="Arial" w:hAnsi="Arial"/>
          <w:b/>
          <w:bCs/>
          <w:color w:val="FFFFFF"/>
          <w:sz w:val="28"/>
          <w:szCs w:val="28"/>
        </w:rPr>
        <w:t xml:space="preserve">YEAR-WISE MILESTONE CHECKLIST</w:t>
      </w:r>
    </w:p>
    <w:p>
      <w:pPr>
        <w:spacing w:after="120"/>
      </w:pPr>
      <w:r>
        <w:rPr>
          <w:sz w:val="12"/>
          <w:szCs w:val="12"/>
        </w:rPr>
        <w:t xml:space="preserve"/>
      </w:r>
    </w:p>
    <w:tbl>
      <w:tblPr>
        <w:tblW w:type="dxa" w:w="974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949"/>
        <w:gridCol w:w="1949"/>
        <w:gridCol w:w="1949"/>
        <w:gridCol w:w="1949"/>
        <w:gridCol w:w="1949"/>
      </w:tblGrid>
      <w:tr>
        <w:trPr>
          <w:tblHeader/>
        </w:trPr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B5E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Year</w:t>
            </w:r>
          </w:p>
        </w:tc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B5E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Internship</w:t>
            </w:r>
          </w:p>
        </w:tc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B5E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Moot Court</w:t>
            </w:r>
          </w:p>
        </w:tc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B5E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Publication</w:t>
            </w:r>
          </w:p>
        </w:tc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2B5E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Exam Prep</w:t>
            </w:r>
          </w:p>
        </w:tc>
      </w:tr>
      <w:tr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Year 1</w:t>
            </w:r>
          </w:p>
        </w:tc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District Court</w:t>
            </w:r>
          </w:p>
        </w:tc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Observe/Intra</w:t>
            </w:r>
          </w:p>
        </w:tc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Blog Post</w:t>
            </w:r>
          </w:p>
        </w:tc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None</w:t>
            </w:r>
          </w:p>
        </w:tc>
      </w:tr>
      <w:tr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Year 2</w:t>
            </w:r>
          </w:p>
        </w:tc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Corporate Firm</w:t>
            </w:r>
          </w:p>
        </w:tc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Intra-College</w:t>
            </w:r>
          </w:p>
        </w:tc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Case Comment</w:t>
            </w:r>
          </w:p>
        </w:tc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None</w:t>
            </w:r>
          </w:p>
        </w:tc>
      </w:tr>
      <w:tr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Year 3</w:t>
            </w:r>
          </w:p>
        </w:tc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Specialised</w:t>
            </w:r>
          </w:p>
        </w:tc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National Level</w:t>
            </w:r>
          </w:p>
        </w:tc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Journal Article</w:t>
            </w:r>
          </w:p>
        </w:tc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Begin if applicable</w:t>
            </w:r>
          </w:p>
        </w:tc>
      </w:tr>
      <w:tr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Year 4</w:t>
            </w:r>
          </w:p>
        </w:tc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Tier 1/2 Firm</w:t>
            </w:r>
          </w:p>
        </w:tc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International</w:t>
            </w:r>
          </w:p>
        </w:tc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2nd Publication</w:t>
            </w:r>
          </w:p>
        </w:tc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4F8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Serious Prep</w:t>
            </w:r>
          </w:p>
        </w:tc>
      </w:tr>
      <w:tr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Year 5</w:t>
            </w:r>
          </w:p>
        </w:tc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PPO/Chamber</w:t>
            </w:r>
          </w:p>
        </w:tc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—</w:t>
            </w:r>
          </w:p>
        </w:tc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—</w:t>
            </w:r>
          </w:p>
        </w:tc>
        <w:tc>
          <w:tcPr>
            <w:tcW w:type="dxa" w:w="1949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1A1A1A"/>
                <w:sz w:val="20"/>
                <w:szCs w:val="20"/>
              </w:rPr>
              <w:t xml:space="preserve">AIBE / Judicial Prelims</w:t>
            </w:r>
          </w:p>
        </w:tc>
      </w:tr>
    </w:tbl>
    <w:p>
      <w:pPr>
        <w:spacing w:after="200"/>
      </w:pPr>
      <w:r>
        <w:rPr>
          <w:sz w:val="12"/>
          <w:szCs w:val="12"/>
        </w:rPr>
        <w:t xml:space="preserve"/>
      </w:r>
    </w:p>
    <w:p>
      <w:pPr>
        <w:shd w:fill="1A2B5E" w:val="clear"/>
        <w:spacing w:before="300" w:after="200"/>
        <w:ind w:left="160" w:right="160"/>
      </w:pPr>
      <w:r>
        <w:rPr>
          <w:rFonts w:ascii="Arial" w:cs="Arial" w:eastAsia="Arial" w:hAnsi="Arial"/>
          <w:b/>
          <w:bCs/>
          <w:color w:val="FFFFFF"/>
          <w:sz w:val="28"/>
          <w:szCs w:val="28"/>
        </w:rPr>
        <w:t xml:space="preserve">GET PERSONALISED GUIDANCE</w:t>
      </w:r>
    </w:p>
    <w:p>
      <w:pPr>
        <w:spacing w:after="80"/>
      </w:pPr>
      <w:r>
        <w:rPr>
          <w:sz w:val="12"/>
          <w:szCs w:val="12"/>
        </w:rPr>
        <w:t xml:space="preserve"/>
      </w:r>
    </w:p>
    <w:p>
      <w:pPr>
        <w:spacing w:after="12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Every law student's journey is unique. Guru Legal's mentors help you customise this roadmap to your specific law school, goals, and strengths.</w:t>
      </w:r>
    </w:p>
    <w:p>
      <w:pPr>
        <w:spacing w:after="80"/>
      </w:pPr>
      <w:r>
        <w:rPr>
          <w:sz w:val="12"/>
          <w:szCs w:val="12"/>
        </w:rPr>
        <w:t xml:space="preserve"/>
      </w:r>
    </w:p>
    <w:p>
      <w:pPr>
        <w:pStyle w:val="ListParagraph"/>
        <w:numPr>
          <w:ilvl w:val="0"/>
          <w:numId w:val="4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1-on-1 Mentorship: www.gurulegal.in/inquiry-now</w:t>
      </w:r>
    </w:p>
    <w:p>
      <w:pPr>
        <w:pStyle w:val="ListParagraph"/>
        <w:numPr>
          <w:ilvl w:val="0"/>
          <w:numId w:val="4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Verified Internships: www.gurulegal.in/verified-legal-internships</w:t>
      </w:r>
    </w:p>
    <w:p>
      <w:pPr>
        <w:pStyle w:val="ListParagraph"/>
        <w:numPr>
          <w:ilvl w:val="0"/>
          <w:numId w:val="4"/>
        </w:numPr>
        <w:spacing w:after="80"/>
      </w:pPr>
      <w:r>
        <w:rPr>
          <w:rFonts w:ascii="Arial" w:cs="Arial" w:eastAsia="Arial" w:hAnsi="Arial"/>
          <w:color w:val="1A1A1A"/>
          <w:sz w:val="22"/>
          <w:szCs w:val="22"/>
        </w:rPr>
        <w:t xml:space="preserve">Free Resources: www.gurulegal.in/free-resources</w:t>
      </w:r>
    </w:p>
    <w:sectPr>
      <w:headerReference w:type="default" r:id="rId6"/>
      <w:footerReference w:type="default" r:id="rId7"/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C9A84C" w:sz="4"/>
      </w:pBdr>
      <w:spacing w:before="120"/>
      <w:jc w:val="center"/>
    </w:pPr>
    <w:r>
      <w:rPr>
        <w:rFonts w:ascii="Arial" w:cs="Arial" w:eastAsia="Arial" w:hAnsi="Arial"/>
        <w:color w:val="666666"/>
        <w:sz w:val="16"/>
        <w:szCs w:val="16"/>
      </w:rPr>
      <w:t xml:space="preserve">© 2025 Guru Legal | Free Career Resource | www.gurulegal.in | WhatsApp: +91-7351771555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C9A84C" w:sz="4"/>
      </w:pBdr>
      <w:shd w:fill="1A2B5E" w:val="clear"/>
      <w:spacing w:before="160" w:after="160"/>
      <w:jc w:val="center"/>
    </w:pPr>
    <w:r>
      <w:rPr>
        <w:rFonts w:ascii="Arial" w:cs="Arial" w:eastAsia="Arial" w:hAnsi="Arial"/>
        <w:b/>
        <w:bCs/>
        <w:color w:val="FFFFFF"/>
        <w:sz w:val="18"/>
        <w:szCs w:val="18"/>
      </w:rPr>
      <w:t xml:space="preserve">GURU LEGAL</w:t>
    </w:r>
    <w:r>
      <w:rPr>
        <w:rFonts w:ascii="Arial" w:cs="Arial" w:eastAsia="Arial" w:hAnsi="Arial"/>
        <w:color w:val="C9A84C"/>
        <w:sz w:val="18"/>
        <w:szCs w:val="18"/>
      </w:rPr>
      <w:t xml:space="preserve">   |   </w:t>
    </w:r>
    <w:r>
      <w:rPr>
        <w:rFonts w:ascii="Arial" w:cs="Arial" w:eastAsia="Arial" w:hAnsi="Arial"/>
        <w:color w:val="F5E6C3"/>
        <w:sz w:val="18"/>
        <w:szCs w:val="18"/>
      </w:rPr>
      <w:t xml:space="preserve">gurulegal.in</w:t>
    </w:r>
    <w:r>
      <w:rPr>
        <w:rFonts w:ascii="Arial" w:cs="Arial" w:eastAsia="Arial" w:hAnsi="Arial"/>
        <w:color w:val="C9A84C"/>
        <w:sz w:val="18"/>
        <w:szCs w:val="18"/>
      </w:rPr>
      <w:t xml:space="preserve">   |   </w:t>
    </w:r>
    <w:r>
      <w:rPr>
        <w:rFonts w:ascii="Arial" w:cs="Arial" w:eastAsia="Arial" w:hAnsi="Arial"/>
        <w:color w:val="F5E6C3"/>
        <w:sz w:val="18"/>
        <w:szCs w:val="18"/>
      </w:rPr>
      <w:t xml:space="preserve">+91-7351771555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60" w:hanging="28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60" w:hanging="280"/>
      </w:pPr>
    </w:lvl>
  </w:abstractNum>
  <w:abstractNum w:abstractNumId="4" w15:restartNumberingAfterBreak="0">
    <w:multiLevelType w:val="hybridMultilevel"/>
    <w:lvl w:ilvl="0" w15:tentative="1">
      <w:start w:val="1"/>
      <w:numFmt w:val="bullet"/>
      <w:lvlText w:val="☐"/>
      <w:lvlJc w:val="left"/>
      <w:pPr>
        <w:ind w:left="560" w:hanging="280"/>
      </w:pPr>
    </w:lvl>
  </w:abstractNum>
  <w:abstractNum w:abstractNumId="5" w15:restartNumberingAfterBreak="0">
    <w:multiLevelType w:val="hybridMultilevel"/>
    <w:lvl w:ilvl="0" w15:tentative="1">
      <w:start w:val="1"/>
      <w:numFmt w:val="bullet"/>
      <w:lvlText w:val="→"/>
      <w:lvlJc w:val="left"/>
      <w:pPr>
        <w:ind w:left="560" w:hanging="28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5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2026-02-18T19:57:16.285Z</dcterms:created>
  <dcterms:modified xsi:type="dcterms:W3CDTF">2026-02-18T19:57:16.285Z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