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drawing>
          <wp:inline xmlns:a="http://schemas.openxmlformats.org/drawingml/2006/main" xmlns:pic="http://schemas.openxmlformats.org/drawingml/2006/picture">
            <wp:extent cx="1828800" cy="1828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ntitled desig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20"/>
        <w:jc w:val="center"/>
      </w:pPr>
      <w:r>
        <w:rPr>
          <w:rFonts w:ascii="Garamond" w:hAnsi="Garamond"/>
          <w:i/>
          <w:color w:val="C89720"/>
          <w:sz w:val="17"/>
        </w:rPr>
        <w:t>Presented by Guru Legal</w:t>
      </w:r>
    </w:p>
    <w:p>
      <w:pPr>
        <w:spacing w:before="0" w:after="60"/>
        <w:jc w:val="center"/>
      </w:pPr>
      <w:r>
        <w:rPr>
          <w:rFonts w:ascii="Garamond" w:hAnsi="Garamond"/>
          <w:b/>
          <w:color w:val="1A1A1A"/>
          <w:sz w:val="32"/>
        </w:rPr>
        <w:t>Law Firm Internship Application Tracker</w:t>
      </w:r>
    </w:p>
    <w:p>
      <w:pPr>
        <w:spacing w:before="0" w:after="80"/>
        <w:jc w:val="center"/>
      </w:pPr>
      <w:r>
        <w:rPr>
          <w:rFonts w:ascii="Garamond" w:hAnsi="Garamond"/>
          <w:i/>
          <w:color w:val="888888"/>
          <w:sz w:val="20"/>
        </w:rPr>
        <w:t>Track Every Application | Follow Up Strategically | Never Miss a Deadline</w:t>
      </w:r>
    </w:p>
    <w:p>
      <w:pPr>
        <w:spacing w:before="0" w:after="120"/>
        <w:pBdr>
          <w:bottom w:val="single" w:sz="6" w:space="1" w:color="1A1A1A"/>
        </w:pBdr>
      </w:pPr>
    </w:p>
    <w:p>
      <w:pPr>
        <w:spacing w:before="120" w:after="200"/>
      </w:pPr>
      <w:r>
        <w:rPr>
          <w:rFonts w:ascii="Garamond" w:hAnsi="Garamond"/>
          <w:b/>
          <w:color w:val="C89720"/>
          <w:sz w:val="20"/>
        </w:rPr>
        <w:t xml:space="preserve">How to Use:  </w:t>
      </w:r>
      <w:r>
        <w:rPr>
          <w:rFonts w:ascii="Garamond" w:hAnsi="Garamond"/>
          <w:color w:val="444444"/>
          <w:sz w:val="20"/>
        </w:rPr>
        <w:t>Fill one row per application. Update Status regularly: Pending / Email Sent / Followed Up / Shortlisted / Rejected / Offer Received. Set Follow-Up Date to 7–10 days after initial email. Export to Excel or Google Sheets for sortable filtering.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2"/>
        <w:gridCol w:w="1382"/>
        <w:gridCol w:w="1382"/>
        <w:gridCol w:w="1382"/>
        <w:gridCol w:w="1382"/>
        <w:gridCol w:w="1382"/>
        <w:gridCol w:w="1382"/>
        <w:gridCol w:w="1382"/>
        <w:gridCol w:w="1382"/>
        <w:gridCol w:w="1382"/>
      </w:tblGrid>
      <w:tr>
        <w:trPr>
          <w:trHeight w:val="400"/>
        </w:trPr>
        <w:tc>
          <w:tcPr>
            <w:tcW w:type="dxa" w:w="553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S.No.</w:t>
            </w:r>
          </w:p>
        </w:tc>
        <w:tc>
          <w:tcPr>
            <w:tcW w:type="dxa" w:w="1797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Law Firm / Chamber</w:t>
            </w:r>
          </w:p>
        </w:tc>
        <w:tc>
          <w:tcPr>
            <w:tcW w:type="dxa" w:w="829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City</w:t>
            </w:r>
          </w:p>
        </w:tc>
        <w:tc>
          <w:tcPr>
            <w:tcW w:type="dxa" w:w="1244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Practice Area</w:t>
            </w:r>
          </w:p>
        </w:tc>
        <w:tc>
          <w:tcPr>
            <w:tcW w:type="dxa" w:w="1382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Contact Person</w:t>
            </w:r>
          </w:p>
        </w:tc>
        <w:tc>
          <w:tcPr>
            <w:tcW w:type="dxa" w:w="1797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Email Address</w:t>
            </w:r>
          </w:p>
        </w:tc>
        <w:tc>
          <w:tcPr>
            <w:tcW w:type="dxa" w:w="1106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Date Applied</w:t>
            </w:r>
          </w:p>
        </w:tc>
        <w:tc>
          <w:tcPr>
            <w:tcW w:type="dxa" w:w="1106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Follow-Up Date</w:t>
            </w:r>
          </w:p>
        </w:tc>
        <w:tc>
          <w:tcPr>
            <w:tcW w:type="dxa" w:w="1244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Status</w:t>
            </w:r>
          </w:p>
        </w:tc>
        <w:tc>
          <w:tcPr>
            <w:tcW w:type="dxa" w:w="1659"/>
            <w:shd w:val="clear" w:color="auto" w:fill="C89720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center"/>
            </w:pPr>
            <w:r>
              <w:rPr>
                <w:rFonts w:ascii="Garamond" w:hAnsi="Garamond"/>
                <w:b/>
                <w:i w:val="0"/>
                <w:color w:val="FFFFFF"/>
                <w:sz w:val="18"/>
              </w:rPr>
              <w:t>Notes</w:t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1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AZB &amp; Partners</w:t>
            </w:r>
          </w:p>
        </w:tc>
        <w:tc>
          <w:tcPr>
            <w:tcW w:type="dxa" w:w="82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Mumbai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Corporate/M&amp;A</w:t>
            </w:r>
          </w:p>
        </w:tc>
        <w:tc>
          <w:tcPr>
            <w:tcW w:type="dxa" w:w="1382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HR Department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hr@azb.in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01 Jun 2025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09 Jun 2025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C89720"/>
                <w:sz w:val="18"/>
              </w:rPr>
              <w:t>Email Sent</w:t>
            </w:r>
          </w:p>
        </w:tc>
        <w:tc>
          <w:tcPr>
            <w:tcW w:type="dxa" w:w="165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Tier 1 firm; mentioned recent SEBI advisory in email</w:t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2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Shardul Amarchand</w:t>
            </w:r>
          </w:p>
        </w:tc>
        <w:tc>
          <w:tcPr>
            <w:tcW w:type="dxa" w:w="82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New Delhi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Disputes/Arbitration</w:t>
            </w:r>
          </w:p>
        </w:tc>
        <w:tc>
          <w:tcPr>
            <w:tcW w:type="dxa" w:w="1382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Ms. Priya Sharma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psharma@sam.in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03 Jun 2025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11 Jun 2025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C89720"/>
                <w:sz w:val="18"/>
              </w:rPr>
              <w:t>Followed Up</w:t>
            </w:r>
          </w:p>
        </w:tc>
        <w:tc>
          <w:tcPr>
            <w:tcW w:type="dxa" w:w="165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No response to first email; sent follow-up on 11 Jun</w:t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3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[Notes / referral / personalisation details]</w:t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4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5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6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7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8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9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10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11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DF6E3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</w:r>
          </w:p>
        </w:tc>
      </w:tr>
      <w:tr>
        <w:trPr>
          <w:trHeight w:val="360"/>
        </w:trPr>
        <w:tc>
          <w:tcPr>
            <w:tcW w:type="dxa" w:w="553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12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[Firm Name]</w:t>
            </w:r>
          </w:p>
        </w:tc>
        <w:tc>
          <w:tcPr>
            <w:tcW w:type="dxa" w:w="82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[City]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[Practice Area]</w:t>
            </w:r>
          </w:p>
        </w:tc>
        <w:tc>
          <w:tcPr>
            <w:tcW w:type="dxa" w:w="1382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[Name/HR]</w:t>
            </w:r>
          </w:p>
        </w:tc>
        <w:tc>
          <w:tcPr>
            <w:tcW w:type="dxa" w:w="1797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[Email]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[Date]</w:t>
            </w:r>
          </w:p>
        </w:tc>
        <w:tc>
          <w:tcPr>
            <w:tcW w:type="dxa" w:w="1106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[Date + 7]</w:t>
            </w:r>
          </w:p>
        </w:tc>
        <w:tc>
          <w:tcPr>
            <w:tcW w:type="dxa" w:w="1244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  <w:t>Pending</w:t>
            </w:r>
          </w:p>
        </w:tc>
        <w:tc>
          <w:tcPr>
            <w:tcW w:type="dxa" w:w="1659"/>
            <w:shd w:val="clear" w:color="auto" w:fill="FFFFFF"/>
            <w:tcBorders>
              <w:top w:val="single" w:sz="4" w:space="0" w:color="D4AF37"/>
              <w:left w:val="single" w:sz="4" w:space="0" w:color="D4AF37"/>
              <w:bottom w:val="single" w:sz="4" w:space="0" w:color="D4AF37"/>
              <w:right w:val="single" w:sz="4" w:space="0" w:color="D4AF37"/>
            </w:tcBorders>
          </w:tcPr>
          <w:p>
            <w:pPr>
              <w:spacing w:before="40" w:after="40"/>
              <w:jc w:val="left"/>
            </w:pPr>
            <w:r>
              <w:rPr>
                <w:rFonts w:ascii="Garamond" w:hAnsi="Garamond"/>
                <w:b w:val="0"/>
                <w:i w:val="0"/>
                <w:color w:val="444444"/>
                <w:sz w:val="18"/>
              </w:rPr>
            </w:r>
          </w:p>
        </w:tc>
      </w:tr>
    </w:tbl>
    <w:p/>
    <w:p>
      <w:pPr>
        <w:spacing w:before="280" w:after="80"/>
      </w:pPr>
      <w:r>
        <w:rPr>
          <w:rFonts w:ascii="Garamond" w:hAnsi="Garamond"/>
          <w:b/>
          <w:color w:val="C89720"/>
          <w:sz w:val="22"/>
        </w:rPr>
        <w:t>TRACKER USAGE GUIDE</w:t>
      </w:r>
    </w:p>
    <w:p>
      <w:pPr>
        <w:spacing w:before="0" w:after="120"/>
        <w:pBdr>
          <w:bottom w:val="single" w:sz="6" w:space="1" w:color="C89720"/>
        </w:pBdr>
      </w:pPr>
    </w:p>
    <w:p>
      <w:pPr>
        <w:spacing w:before="80" w:after="80"/>
      </w:pPr>
      <w:r>
        <w:rPr>
          <w:rFonts w:ascii="Garamond" w:hAnsi="Garamond"/>
          <w:b/>
          <w:color w:val="C89720"/>
          <w:sz w:val="20"/>
        </w:rPr>
        <w:t xml:space="preserve">Status Key:  </w:t>
      </w:r>
      <w:r>
        <w:rPr>
          <w:rFonts w:ascii="Garamond" w:hAnsi="Garamond"/>
          <w:color w:val="444444"/>
          <w:sz w:val="20"/>
        </w:rPr>
        <w:t>Pending = Not yet contacted | Email Sent = First email sent | Followed Up = Second email sent | Shortlisted = Interview/Selection stage | Rejected = No offer | Offer Received = Internship confirmed</w:t>
      </w:r>
    </w:p>
    <w:p>
      <w:pPr>
        <w:spacing w:before="80" w:after="80"/>
      </w:pPr>
      <w:r>
        <w:rPr>
          <w:rFonts w:ascii="Garamond" w:hAnsi="Garamond"/>
          <w:b/>
          <w:color w:val="C89720"/>
          <w:sz w:val="20"/>
        </w:rPr>
        <w:t xml:space="preserve">Follow-Up Timeline:  </w:t>
      </w:r>
      <w:r>
        <w:rPr>
          <w:rFonts w:ascii="Garamond" w:hAnsi="Garamond"/>
          <w:color w:val="444444"/>
          <w:sz w:val="20"/>
        </w:rPr>
        <w:t>Send a follow-up exactly 7–10 days after your initial email. Send no more than one follow-up per application. If no response after follow-up, mark as Rejected and move on.</w:t>
      </w:r>
    </w:p>
    <w:p>
      <w:pPr>
        <w:spacing w:before="80" w:after="80"/>
      </w:pPr>
      <w:r>
        <w:rPr>
          <w:rFonts w:ascii="Garamond" w:hAnsi="Garamond"/>
          <w:b/>
          <w:color w:val="C89720"/>
          <w:sz w:val="20"/>
        </w:rPr>
        <w:t xml:space="preserve">Prioritisation:  </w:t>
      </w:r>
      <w:r>
        <w:rPr>
          <w:rFonts w:ascii="Garamond" w:hAnsi="Garamond"/>
          <w:color w:val="444444"/>
          <w:sz w:val="20"/>
        </w:rPr>
        <w:t>Sort firms into Tier 1 (priority outreach), Tier 2 (rolling applications), and Tier 3 (backup). Start with Tier 2 to build confidence before approaching Tier 1 firms.</w:t>
      </w:r>
    </w:p>
    <w:p>
      <w:pPr>
        <w:spacing w:before="80" w:after="80"/>
      </w:pPr>
      <w:r>
        <w:rPr>
          <w:rFonts w:ascii="Garamond" w:hAnsi="Garamond"/>
          <w:b/>
          <w:color w:val="C89720"/>
          <w:sz w:val="20"/>
        </w:rPr>
        <w:t xml:space="preserve">Personalisation Tip:  </w:t>
      </w:r>
      <w:r>
        <w:rPr>
          <w:rFonts w:ascii="Garamond" w:hAnsi="Garamond"/>
          <w:color w:val="444444"/>
          <w:sz w:val="20"/>
        </w:rPr>
        <w:t>Use the Notes column to record a specific case, deal, or article you referenced in your email. This helps you track what personalisation strategy is working.</w:t>
      </w:r>
    </w:p>
    <w:p>
      <w:pPr>
        <w:spacing w:before="80" w:after="80"/>
      </w:pPr>
      <w:r>
        <w:rPr>
          <w:rFonts w:ascii="Garamond" w:hAnsi="Garamond"/>
          <w:b/>
          <w:color w:val="C89720"/>
          <w:sz w:val="20"/>
        </w:rPr>
        <w:t xml:space="preserve">Convert to Google Sheets:  </w:t>
      </w:r>
      <w:r>
        <w:rPr>
          <w:rFonts w:ascii="Garamond" w:hAnsi="Garamond"/>
          <w:color w:val="444444"/>
          <w:sz w:val="20"/>
        </w:rPr>
        <w:t>Copy this table into Google Sheets for sortable filtering by Status, City, or Practice Area. Add conditional formatting: yellow = Email Sent, green = Shortlisted, red = Rejected.</w:t>
      </w:r>
    </w:p>
    <w:sectPr w:rsidR="00FC693F" w:rsidRPr="0006063C" w:rsidSect="00034616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