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36A28" w:rsidRDefault="00F36A28">
      <w:pPr>
        <w:spacing w:after="400"/>
      </w:pPr>
    </w:p>
    <w:p w:rsidR="00F36A28" w:rsidRDefault="00000000">
      <w:pPr>
        <w:spacing w:after="200"/>
        <w:jc w:val="center"/>
      </w:pPr>
      <w:r>
        <w:rPr>
          <w:b/>
          <w:bCs/>
          <w:caps/>
          <w:color w:val="C9A84C"/>
        </w:rPr>
        <w:t>GURU LEGAL PRESENTS</w:t>
      </w:r>
    </w:p>
    <w:p w:rsidR="00F36A28" w:rsidRDefault="00000000">
      <w:pPr>
        <w:shd w:val="clear" w:color="auto" w:fill="1A2B5E"/>
        <w:spacing w:before="200" w:after="200"/>
        <w:jc w:val="center"/>
      </w:pPr>
      <w:r>
        <w:rPr>
          <w:b/>
          <w:bCs/>
          <w:color w:val="FFFFFF"/>
          <w:sz w:val="52"/>
          <w:szCs w:val="52"/>
        </w:rPr>
        <w:t>Judicial Services Preparation Roadmap</w:t>
      </w:r>
    </w:p>
    <w:p w:rsidR="00F36A28" w:rsidRDefault="00000000">
      <w:pPr>
        <w:spacing w:before="200" w:after="300"/>
        <w:jc w:val="center"/>
      </w:pPr>
      <w:r>
        <w:rPr>
          <w:b/>
          <w:bCs/>
          <w:color w:val="1A2B5E"/>
          <w:sz w:val="28"/>
          <w:szCs w:val="28"/>
        </w:rPr>
        <w:t>Your Complete Guide to Becoming a Civil Judge in India</w:t>
      </w:r>
    </w:p>
    <w:p w:rsidR="00F36A28" w:rsidRDefault="00000000">
      <w:pPr>
        <w:spacing w:after="400"/>
        <w:jc w:val="center"/>
      </w:pPr>
      <w:r>
        <w:rPr>
          <w:i/>
          <w:iCs/>
          <w:color w:val="1A1A1A"/>
        </w:rPr>
        <w:t>From law school to the bench — a structured, step-by-step preparation plan</w:t>
      </w:r>
    </w:p>
    <w:p w:rsidR="00435D5C" w:rsidRDefault="00000000" w:rsidP="00435D5C">
      <w:pPr>
        <w:shd w:val="clear" w:color="auto" w:fill="C9A84C"/>
        <w:spacing w:before="200" w:after="200"/>
        <w:jc w:val="center"/>
      </w:pPr>
      <w:r>
        <w:rPr>
          <w:b/>
          <w:bCs/>
          <w:color w:val="FFFFFF"/>
          <w:sz w:val="20"/>
          <w:szCs w:val="20"/>
        </w:rPr>
        <w:t>FREE DOWNLOADABLE RESOURCE</w:t>
      </w:r>
    </w:p>
    <w:p w:rsidR="00F36A28" w:rsidRDefault="00000000" w:rsidP="00435D5C">
      <w:pPr>
        <w:shd w:val="clear" w:color="auto" w:fill="C9A84C"/>
        <w:spacing w:before="200" w:after="200"/>
        <w:jc w:val="center"/>
      </w:pPr>
      <w:r>
        <w:rPr>
          <w:b/>
          <w:bCs/>
          <w:color w:val="FFFFFF"/>
          <w:sz w:val="28"/>
          <w:szCs w:val="28"/>
        </w:rPr>
        <w:t>WHAT IS JUDICIAL SERVICES?</w:t>
      </w:r>
    </w:p>
    <w:p w:rsidR="00F36A28" w:rsidRDefault="00F36A28">
      <w:pPr>
        <w:spacing w:after="80"/>
      </w:pPr>
    </w:p>
    <w:p w:rsidR="00F36A28" w:rsidRDefault="00000000">
      <w:pPr>
        <w:spacing w:after="120"/>
      </w:pPr>
      <w:r>
        <w:rPr>
          <w:color w:val="1A1A1A"/>
        </w:rPr>
        <w:t>Judicial Services refers to the recruitment of judges at the subordinate court level through competitive examinations conducted by State Public Service Commissions in coordination with the respective High Courts. Passing the Judicial Services Exam allows you to be appointed as a Civil Judge (Junior Division) or Judicial Magistrate First Class (JMFC).</w:t>
      </w:r>
    </w:p>
    <w:p w:rsidR="00F36A28" w:rsidRDefault="00F36A28">
      <w:pPr>
        <w:spacing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F36A28">
        <w:tblPrEx>
          <w:tblCellMar>
            <w:top w:w="0" w:type="dxa"/>
            <w:bottom w:w="0" w:type="dxa"/>
          </w:tblCellMar>
        </w:tblPrEx>
        <w:tc>
          <w:tcPr>
            <w:tcW w:w="9746" w:type="dxa"/>
            <w:tcBorders>
              <w:top w:val="single" w:sz="4" w:space="0" w:color="C9A84C"/>
              <w:left w:val="single" w:sz="12" w:space="0" w:color="C9A84C"/>
              <w:bottom w:val="single" w:sz="4" w:space="0" w:color="C9A84C"/>
              <w:right w:val="none" w:sz="0" w:space="0" w:color="FFFFFF"/>
            </w:tcBorders>
            <w:shd w:val="clear" w:color="auto" w:fill="F5E6C3"/>
            <w:tcMar>
              <w:top w:w="120" w:type="dxa"/>
              <w:left w:w="200" w:type="dxa"/>
              <w:bottom w:w="120" w:type="dxa"/>
              <w:right w:w="200" w:type="dxa"/>
            </w:tcMar>
          </w:tcPr>
          <w:p w:rsidR="00F36A28" w:rsidRDefault="00000000">
            <w:r>
              <w:rPr>
                <w:b/>
                <w:bCs/>
                <w:color w:val="1A2B5E"/>
              </w:rPr>
              <w:t>Key Fact:</w:t>
            </w:r>
          </w:p>
          <w:p w:rsidR="00F36A28" w:rsidRDefault="00000000">
            <w:r>
              <w:rPr>
                <w:color w:val="1A1A1A"/>
              </w:rPr>
              <w:t>Each state has its own Judicial Services Examination. Major ones include MPSC (Maharashtra), UPPSC-J (Uttar Pradesh), RJSE (Rajasthan), Delhi Judicial Service, and the combined exams of many other states.</w:t>
            </w:r>
          </w:p>
        </w:tc>
      </w:tr>
    </w:tbl>
    <w:p w:rsidR="00F36A28" w:rsidRDefault="00F36A28">
      <w:pPr>
        <w:spacing w:after="200"/>
      </w:pPr>
    </w:p>
    <w:p w:rsidR="00F36A28" w:rsidRDefault="00000000">
      <w:pPr>
        <w:shd w:val="clear" w:color="auto" w:fill="1A2B5E"/>
        <w:spacing w:before="300" w:after="200"/>
        <w:ind w:left="160" w:right="160"/>
      </w:pPr>
      <w:r>
        <w:rPr>
          <w:b/>
          <w:bCs/>
          <w:color w:val="FFFFFF"/>
          <w:sz w:val="28"/>
          <w:szCs w:val="28"/>
        </w:rPr>
        <w:t>ELIGIBILITY CRITERIA</w:t>
      </w:r>
    </w:p>
    <w:p w:rsidR="00F36A28" w:rsidRDefault="00F36A28">
      <w:pPr>
        <w:spacing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73"/>
        <w:gridCol w:w="4873"/>
      </w:tblGrid>
      <w:tr w:rsidR="00F36A28">
        <w:tblPrEx>
          <w:tblCellMar>
            <w:top w:w="0" w:type="dxa"/>
            <w:bottom w:w="0" w:type="dxa"/>
          </w:tblCellMar>
        </w:tblPrEx>
        <w:trPr>
          <w:tblHeader/>
        </w:trPr>
        <w:tc>
          <w:tcPr>
            <w:tcW w:w="4873" w:type="dxa"/>
            <w:tcBorders>
              <w:top w:val="single" w:sz="1" w:space="0" w:color="CCCCCC"/>
              <w:left w:val="single" w:sz="1" w:space="0" w:color="CCCCCC"/>
              <w:bottom w:val="single" w:sz="1" w:space="0" w:color="CCCCCC"/>
              <w:right w:val="single" w:sz="1" w:space="0" w:color="CCCCCC"/>
            </w:tcBorders>
            <w:shd w:val="clear" w:color="auto" w:fill="1A2B5E"/>
            <w:tcMar>
              <w:top w:w="100" w:type="dxa"/>
              <w:left w:w="120" w:type="dxa"/>
              <w:bottom w:w="100" w:type="dxa"/>
              <w:right w:w="120" w:type="dxa"/>
            </w:tcMar>
          </w:tcPr>
          <w:p w:rsidR="00F36A28" w:rsidRDefault="00000000">
            <w:pPr>
              <w:jc w:val="center"/>
            </w:pPr>
            <w:r>
              <w:rPr>
                <w:b/>
                <w:bCs/>
                <w:color w:val="FFFFFF"/>
                <w:sz w:val="20"/>
                <w:szCs w:val="20"/>
              </w:rPr>
              <w:t>Criteria</w:t>
            </w:r>
          </w:p>
        </w:tc>
        <w:tc>
          <w:tcPr>
            <w:tcW w:w="4873" w:type="dxa"/>
            <w:tcBorders>
              <w:top w:val="single" w:sz="1" w:space="0" w:color="CCCCCC"/>
              <w:left w:val="single" w:sz="1" w:space="0" w:color="CCCCCC"/>
              <w:bottom w:val="single" w:sz="1" w:space="0" w:color="CCCCCC"/>
              <w:right w:val="single" w:sz="1" w:space="0" w:color="CCCCCC"/>
            </w:tcBorders>
            <w:shd w:val="clear" w:color="auto" w:fill="1A2B5E"/>
            <w:tcMar>
              <w:top w:w="100" w:type="dxa"/>
              <w:left w:w="120" w:type="dxa"/>
              <w:bottom w:w="100" w:type="dxa"/>
              <w:right w:w="120" w:type="dxa"/>
            </w:tcMar>
          </w:tcPr>
          <w:p w:rsidR="00F36A28" w:rsidRDefault="00000000">
            <w:pPr>
              <w:jc w:val="center"/>
            </w:pPr>
            <w:r>
              <w:rPr>
                <w:b/>
                <w:bCs/>
                <w:color w:val="FFFFFF"/>
                <w:sz w:val="20"/>
                <w:szCs w:val="20"/>
              </w:rPr>
              <w:t>Details</w:t>
            </w:r>
          </w:p>
        </w:tc>
      </w:tr>
      <w:tr w:rsidR="00F36A28">
        <w:tblPrEx>
          <w:tblCellMar>
            <w:top w:w="0" w:type="dxa"/>
            <w:bottom w:w="0" w:type="dxa"/>
          </w:tblCellMar>
        </w:tblPrEx>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Qualification</w:t>
            </w:r>
          </w:p>
        </w:tc>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LLB Degree from a recognised university (3 or 5 year)</w:t>
            </w:r>
          </w:p>
        </w:tc>
      </w:tr>
      <w:tr w:rsidR="00F36A28">
        <w:tblPrEx>
          <w:tblCellMar>
            <w:top w:w="0" w:type="dxa"/>
            <w:bottom w:w="0" w:type="dxa"/>
          </w:tblCellMar>
        </w:tblPrEx>
        <w:tc>
          <w:tcPr>
            <w:tcW w:w="4873"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Enrolment</w:t>
            </w:r>
          </w:p>
        </w:tc>
        <w:tc>
          <w:tcPr>
            <w:tcW w:w="4873"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Must be enrolled as an Advocate with State Bar Council (most states)</w:t>
            </w:r>
          </w:p>
        </w:tc>
      </w:tr>
      <w:tr w:rsidR="00F36A28">
        <w:tblPrEx>
          <w:tblCellMar>
            <w:top w:w="0" w:type="dxa"/>
            <w:bottom w:w="0" w:type="dxa"/>
          </w:tblCellMar>
        </w:tblPrEx>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Age Limit</w:t>
            </w:r>
          </w:p>
        </w:tc>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21–35 years (varies by state; relaxation for SC/ST/OBC)</w:t>
            </w:r>
          </w:p>
        </w:tc>
      </w:tr>
      <w:tr w:rsidR="00F36A28">
        <w:tblPrEx>
          <w:tblCellMar>
            <w:top w:w="0" w:type="dxa"/>
            <w:bottom w:w="0" w:type="dxa"/>
          </w:tblCellMar>
        </w:tblPrEx>
        <w:tc>
          <w:tcPr>
            <w:tcW w:w="4873"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Attempts</w:t>
            </w:r>
          </w:p>
        </w:tc>
        <w:tc>
          <w:tcPr>
            <w:tcW w:w="4873"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Varies — typically 3–7 attempts depending on state</w:t>
            </w:r>
          </w:p>
        </w:tc>
      </w:tr>
      <w:tr w:rsidR="00F36A28">
        <w:tblPrEx>
          <w:tblCellMar>
            <w:top w:w="0" w:type="dxa"/>
            <w:bottom w:w="0" w:type="dxa"/>
          </w:tblCellMar>
        </w:tblPrEx>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Nationality</w:t>
            </w:r>
          </w:p>
        </w:tc>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Indian Citizen</w:t>
            </w:r>
          </w:p>
        </w:tc>
      </w:tr>
    </w:tbl>
    <w:p w:rsidR="00F36A28" w:rsidRDefault="00F36A28">
      <w:pPr>
        <w:spacing w:after="200"/>
      </w:pPr>
    </w:p>
    <w:p w:rsidR="00F36A28" w:rsidRDefault="00000000">
      <w:pPr>
        <w:shd w:val="clear" w:color="auto" w:fill="1A2B5E"/>
        <w:spacing w:before="300" w:after="200"/>
        <w:ind w:left="160" w:right="160"/>
      </w:pPr>
      <w:r>
        <w:rPr>
          <w:b/>
          <w:bCs/>
          <w:color w:val="FFFFFF"/>
          <w:sz w:val="28"/>
          <w:szCs w:val="28"/>
        </w:rPr>
        <w:t>EXAM STRUCTURE — GENERAL PATTERN</w:t>
      </w:r>
    </w:p>
    <w:p w:rsidR="00F36A28" w:rsidRDefault="00F36A28">
      <w:pPr>
        <w:spacing w:after="80"/>
      </w:pPr>
    </w:p>
    <w:p w:rsidR="00F36A28" w:rsidRDefault="00000000">
      <w:pPr>
        <w:spacing w:after="120"/>
      </w:pPr>
      <w:r>
        <w:rPr>
          <w:color w:val="1A1A1A"/>
        </w:rPr>
        <w:t>While each state has specific patterns, most Judicial Services exams follow this three-stage structure:</w:t>
      </w:r>
    </w:p>
    <w:p w:rsidR="00F36A28" w:rsidRDefault="00F36A28">
      <w:pPr>
        <w:spacing w:after="80"/>
      </w:pPr>
    </w:p>
    <w:p w:rsidR="00F36A28" w:rsidRDefault="00000000">
      <w:pPr>
        <w:pBdr>
          <w:bottom w:val="single" w:sz="2" w:space="0" w:color="C9A84C"/>
        </w:pBdr>
        <w:spacing w:before="240" w:after="120"/>
      </w:pPr>
      <w:r>
        <w:rPr>
          <w:b/>
          <w:bCs/>
          <w:color w:val="1A2B5E"/>
          <w:sz w:val="24"/>
          <w:szCs w:val="24"/>
        </w:rPr>
        <w:t>Stage 1: Preliminary Examination</w:t>
      </w:r>
    </w:p>
    <w:p w:rsidR="00F36A28" w:rsidRDefault="00000000">
      <w:pPr>
        <w:pStyle w:val="ListParagraph"/>
        <w:numPr>
          <w:ilvl w:val="0"/>
          <w:numId w:val="2"/>
        </w:numPr>
        <w:spacing w:after="80"/>
      </w:pPr>
      <w:r>
        <w:rPr>
          <w:color w:val="1A1A1A"/>
        </w:rPr>
        <w:t>Objective MCQ format (100–200 questions)</w:t>
      </w:r>
    </w:p>
    <w:p w:rsidR="00F36A28" w:rsidRDefault="00000000">
      <w:pPr>
        <w:pStyle w:val="ListParagraph"/>
        <w:numPr>
          <w:ilvl w:val="0"/>
          <w:numId w:val="2"/>
        </w:numPr>
        <w:spacing w:after="80"/>
      </w:pPr>
      <w:r>
        <w:rPr>
          <w:color w:val="1A1A1A"/>
        </w:rPr>
        <w:t>Tests: Law subjects, General Knowledge, Current Affairs, Language ability</w:t>
      </w:r>
    </w:p>
    <w:p w:rsidR="00F36A28" w:rsidRDefault="00000000">
      <w:pPr>
        <w:pStyle w:val="ListParagraph"/>
        <w:numPr>
          <w:ilvl w:val="0"/>
          <w:numId w:val="2"/>
        </w:numPr>
        <w:spacing w:after="80"/>
      </w:pPr>
      <w:r>
        <w:rPr>
          <w:color w:val="1A1A1A"/>
        </w:rPr>
        <w:t>Qualifying in nature — not counted in final merit</w:t>
      </w:r>
    </w:p>
    <w:p w:rsidR="00F36A28" w:rsidRDefault="00000000">
      <w:pPr>
        <w:pStyle w:val="ListParagraph"/>
        <w:numPr>
          <w:ilvl w:val="0"/>
          <w:numId w:val="2"/>
        </w:numPr>
        <w:spacing w:after="80"/>
      </w:pPr>
      <w:r>
        <w:rPr>
          <w:color w:val="1A1A1A"/>
        </w:rPr>
        <w:t>Duration: 2–3 hours</w:t>
      </w:r>
    </w:p>
    <w:p w:rsidR="00F36A28" w:rsidRDefault="00F36A28">
      <w:pPr>
        <w:spacing w:after="80"/>
      </w:pPr>
    </w:p>
    <w:p w:rsidR="00F36A28" w:rsidRDefault="00000000">
      <w:pPr>
        <w:pBdr>
          <w:bottom w:val="single" w:sz="2" w:space="0" w:color="C9A84C"/>
        </w:pBdr>
        <w:spacing w:before="240" w:after="120"/>
      </w:pPr>
      <w:r>
        <w:rPr>
          <w:b/>
          <w:bCs/>
          <w:color w:val="1A2B5E"/>
          <w:sz w:val="24"/>
          <w:szCs w:val="24"/>
        </w:rPr>
        <w:t>Stage 2: Mains Examination</w:t>
      </w:r>
    </w:p>
    <w:p w:rsidR="00F36A28" w:rsidRDefault="00000000">
      <w:pPr>
        <w:pStyle w:val="ListParagraph"/>
        <w:numPr>
          <w:ilvl w:val="0"/>
          <w:numId w:val="2"/>
        </w:numPr>
        <w:spacing w:after="80"/>
      </w:pPr>
      <w:r>
        <w:rPr>
          <w:color w:val="1A1A1A"/>
        </w:rPr>
        <w:t>Descriptive/essay-based answers on law subjects</w:t>
      </w:r>
    </w:p>
    <w:p w:rsidR="00F36A28" w:rsidRDefault="00000000">
      <w:pPr>
        <w:pStyle w:val="ListParagraph"/>
        <w:numPr>
          <w:ilvl w:val="0"/>
          <w:numId w:val="2"/>
        </w:numPr>
        <w:spacing w:after="80"/>
      </w:pPr>
      <w:r>
        <w:rPr>
          <w:color w:val="1A1A1A"/>
        </w:rPr>
        <w:t>Language Paper (English + regional language)</w:t>
      </w:r>
    </w:p>
    <w:p w:rsidR="00F36A28" w:rsidRDefault="00000000">
      <w:pPr>
        <w:pStyle w:val="ListParagraph"/>
        <w:numPr>
          <w:ilvl w:val="0"/>
          <w:numId w:val="2"/>
        </w:numPr>
        <w:spacing w:after="80"/>
      </w:pPr>
      <w:r>
        <w:rPr>
          <w:color w:val="1A1A1A"/>
        </w:rPr>
        <w:t>Papers typically cover: Civil Law, Criminal Law, Evidence, Procedure</w:t>
      </w:r>
    </w:p>
    <w:p w:rsidR="00F36A28" w:rsidRDefault="00000000">
      <w:pPr>
        <w:pStyle w:val="ListParagraph"/>
        <w:numPr>
          <w:ilvl w:val="0"/>
          <w:numId w:val="2"/>
        </w:numPr>
        <w:spacing w:after="80"/>
      </w:pPr>
      <w:r>
        <w:rPr>
          <w:color w:val="1A1A1A"/>
        </w:rPr>
        <w:t>Duration: Multiple 3-hour papers over several days</w:t>
      </w:r>
    </w:p>
    <w:p w:rsidR="00F36A28" w:rsidRDefault="00F36A28">
      <w:pPr>
        <w:spacing w:after="80"/>
      </w:pPr>
    </w:p>
    <w:p w:rsidR="00F36A28" w:rsidRDefault="00000000">
      <w:pPr>
        <w:pBdr>
          <w:bottom w:val="single" w:sz="2" w:space="0" w:color="C9A84C"/>
        </w:pBdr>
        <w:spacing w:before="240" w:after="120"/>
      </w:pPr>
      <w:r>
        <w:rPr>
          <w:b/>
          <w:bCs/>
          <w:color w:val="1A2B5E"/>
          <w:sz w:val="24"/>
          <w:szCs w:val="24"/>
        </w:rPr>
        <w:t>Stage 3: Viva Voce (Interview)</w:t>
      </w:r>
    </w:p>
    <w:p w:rsidR="00F36A28" w:rsidRDefault="00000000">
      <w:pPr>
        <w:pStyle w:val="ListParagraph"/>
        <w:numPr>
          <w:ilvl w:val="0"/>
          <w:numId w:val="2"/>
        </w:numPr>
        <w:spacing w:after="80"/>
      </w:pPr>
      <w:r>
        <w:rPr>
          <w:color w:val="1A1A1A"/>
        </w:rPr>
        <w:t>Conducted by a High Court committee</w:t>
      </w:r>
    </w:p>
    <w:p w:rsidR="00F36A28" w:rsidRDefault="00000000">
      <w:pPr>
        <w:pStyle w:val="ListParagraph"/>
        <w:numPr>
          <w:ilvl w:val="0"/>
          <w:numId w:val="2"/>
        </w:numPr>
        <w:spacing w:after="80"/>
      </w:pPr>
      <w:r>
        <w:rPr>
          <w:color w:val="1A1A1A"/>
        </w:rPr>
        <w:t>Tests legal knowledge, analytical thinking, personality, temperament</w:t>
      </w:r>
    </w:p>
    <w:p w:rsidR="00F36A28" w:rsidRDefault="00000000">
      <w:pPr>
        <w:pStyle w:val="ListParagraph"/>
        <w:numPr>
          <w:ilvl w:val="0"/>
          <w:numId w:val="2"/>
        </w:numPr>
        <w:spacing w:after="80"/>
      </w:pPr>
      <w:r>
        <w:rPr>
          <w:color w:val="1A1A1A"/>
        </w:rPr>
        <w:t>Carries significant weight in final selection</w:t>
      </w:r>
    </w:p>
    <w:p w:rsidR="00F36A28" w:rsidRDefault="00F36A28">
      <w:pPr>
        <w:spacing w:after="200"/>
      </w:pPr>
    </w:p>
    <w:p w:rsidR="00F36A28" w:rsidRDefault="00000000">
      <w:pPr>
        <w:shd w:val="clear" w:color="auto" w:fill="1A2B5E"/>
        <w:spacing w:before="300" w:after="200"/>
        <w:ind w:left="160" w:right="160"/>
      </w:pPr>
      <w:r>
        <w:rPr>
          <w:b/>
          <w:bCs/>
          <w:color w:val="FFFFFF"/>
          <w:sz w:val="28"/>
          <w:szCs w:val="28"/>
        </w:rPr>
        <w:t>CORE SUBJECTS TO MASTER</w:t>
      </w:r>
    </w:p>
    <w:p w:rsidR="00F36A28" w:rsidRDefault="00F36A28">
      <w:pPr>
        <w:spacing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48"/>
        <w:gridCol w:w="3249"/>
        <w:gridCol w:w="3249"/>
      </w:tblGrid>
      <w:tr w:rsidR="00F36A28">
        <w:tblPrEx>
          <w:tblCellMar>
            <w:top w:w="0" w:type="dxa"/>
            <w:bottom w:w="0" w:type="dxa"/>
          </w:tblCellMar>
        </w:tblPrEx>
        <w:trPr>
          <w:tblHeader/>
        </w:trPr>
        <w:tc>
          <w:tcPr>
            <w:tcW w:w="3248" w:type="dxa"/>
            <w:tcBorders>
              <w:top w:val="single" w:sz="1" w:space="0" w:color="CCCCCC"/>
              <w:left w:val="single" w:sz="1" w:space="0" w:color="CCCCCC"/>
              <w:bottom w:val="single" w:sz="1" w:space="0" w:color="CCCCCC"/>
              <w:right w:val="single" w:sz="1" w:space="0" w:color="CCCCCC"/>
            </w:tcBorders>
            <w:shd w:val="clear" w:color="auto" w:fill="1A2B5E"/>
            <w:tcMar>
              <w:top w:w="100" w:type="dxa"/>
              <w:left w:w="120" w:type="dxa"/>
              <w:bottom w:w="100" w:type="dxa"/>
              <w:right w:w="120" w:type="dxa"/>
            </w:tcMar>
          </w:tcPr>
          <w:p w:rsidR="00F36A28" w:rsidRDefault="00000000">
            <w:pPr>
              <w:jc w:val="center"/>
            </w:pPr>
            <w:r>
              <w:rPr>
                <w:b/>
                <w:bCs/>
                <w:color w:val="FFFFFF"/>
                <w:sz w:val="20"/>
                <w:szCs w:val="20"/>
              </w:rPr>
              <w:t>Subject</w:t>
            </w:r>
          </w:p>
        </w:tc>
        <w:tc>
          <w:tcPr>
            <w:tcW w:w="3248" w:type="dxa"/>
            <w:tcBorders>
              <w:top w:val="single" w:sz="1" w:space="0" w:color="CCCCCC"/>
              <w:left w:val="single" w:sz="1" w:space="0" w:color="CCCCCC"/>
              <w:bottom w:val="single" w:sz="1" w:space="0" w:color="CCCCCC"/>
              <w:right w:val="single" w:sz="1" w:space="0" w:color="CCCCCC"/>
            </w:tcBorders>
            <w:shd w:val="clear" w:color="auto" w:fill="1A2B5E"/>
            <w:tcMar>
              <w:top w:w="100" w:type="dxa"/>
              <w:left w:w="120" w:type="dxa"/>
              <w:bottom w:w="100" w:type="dxa"/>
              <w:right w:w="120" w:type="dxa"/>
            </w:tcMar>
          </w:tcPr>
          <w:p w:rsidR="00F36A28" w:rsidRDefault="00000000">
            <w:pPr>
              <w:jc w:val="center"/>
            </w:pPr>
            <w:r>
              <w:rPr>
                <w:b/>
                <w:bCs/>
                <w:color w:val="FFFFFF"/>
                <w:sz w:val="20"/>
                <w:szCs w:val="20"/>
              </w:rPr>
              <w:t>Key Topics</w:t>
            </w:r>
          </w:p>
        </w:tc>
        <w:tc>
          <w:tcPr>
            <w:tcW w:w="3248" w:type="dxa"/>
            <w:tcBorders>
              <w:top w:val="single" w:sz="1" w:space="0" w:color="CCCCCC"/>
              <w:left w:val="single" w:sz="1" w:space="0" w:color="CCCCCC"/>
              <w:bottom w:val="single" w:sz="1" w:space="0" w:color="CCCCCC"/>
              <w:right w:val="single" w:sz="1" w:space="0" w:color="CCCCCC"/>
            </w:tcBorders>
            <w:shd w:val="clear" w:color="auto" w:fill="1A2B5E"/>
            <w:tcMar>
              <w:top w:w="100" w:type="dxa"/>
              <w:left w:w="120" w:type="dxa"/>
              <w:bottom w:w="100" w:type="dxa"/>
              <w:right w:w="120" w:type="dxa"/>
            </w:tcMar>
          </w:tcPr>
          <w:p w:rsidR="00F36A28" w:rsidRDefault="00000000">
            <w:pPr>
              <w:jc w:val="center"/>
            </w:pPr>
            <w:r>
              <w:rPr>
                <w:b/>
                <w:bCs/>
                <w:color w:val="FFFFFF"/>
                <w:sz w:val="20"/>
                <w:szCs w:val="20"/>
              </w:rPr>
              <w:t>Priority</w:t>
            </w:r>
          </w:p>
        </w:tc>
      </w:tr>
      <w:tr w:rsidR="00F36A28">
        <w:tblPrEx>
          <w:tblCellMar>
            <w:top w:w="0" w:type="dxa"/>
            <w:bottom w:w="0" w:type="dxa"/>
          </w:tblCellMar>
        </w:tblPrEx>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Code of Civil Procedure, 1908</w:t>
            </w:r>
          </w:p>
        </w:tc>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Suits, Orders, Execution, Appeals, Revision</w:t>
            </w:r>
          </w:p>
        </w:tc>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w:t>
            </w:r>
          </w:p>
        </w:tc>
      </w:tr>
      <w:tr w:rsidR="00F36A28">
        <w:tblPrEx>
          <w:tblCellMar>
            <w:top w:w="0" w:type="dxa"/>
            <w:bottom w:w="0" w:type="dxa"/>
          </w:tblCellMar>
        </w:tblPrEx>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Code of Criminal Procedure, 1973</w:t>
            </w:r>
          </w:p>
        </w:tc>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Trial, Bail, Appeals, Powers of Magistrate</w:t>
            </w:r>
          </w:p>
        </w:tc>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w:t>
            </w:r>
          </w:p>
        </w:tc>
      </w:tr>
      <w:tr w:rsidR="00F36A28">
        <w:tblPrEx>
          <w:tblCellMar>
            <w:top w:w="0" w:type="dxa"/>
            <w:bottom w:w="0" w:type="dxa"/>
          </w:tblCellMar>
        </w:tblPrEx>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Indian Evidence Act, 1872</w:t>
            </w:r>
          </w:p>
        </w:tc>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Relevancy, Admissibility, Witnesses, Burden of Proof</w:t>
            </w:r>
          </w:p>
        </w:tc>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w:t>
            </w:r>
          </w:p>
        </w:tc>
      </w:tr>
      <w:tr w:rsidR="00F36A28">
        <w:tblPrEx>
          <w:tblCellMar>
            <w:top w:w="0" w:type="dxa"/>
            <w:bottom w:w="0" w:type="dxa"/>
          </w:tblCellMar>
        </w:tblPrEx>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Indian Penal Code, 1860 / BNS</w:t>
            </w:r>
          </w:p>
        </w:tc>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All chapters, offences, defences, sentencing</w:t>
            </w:r>
          </w:p>
        </w:tc>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w:t>
            </w:r>
          </w:p>
        </w:tc>
      </w:tr>
      <w:tr w:rsidR="00F36A28">
        <w:tblPrEx>
          <w:tblCellMar>
            <w:top w:w="0" w:type="dxa"/>
            <w:bottom w:w="0" w:type="dxa"/>
          </w:tblCellMar>
        </w:tblPrEx>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Transfer of Property Act, 1882</w:t>
            </w:r>
          </w:p>
        </w:tc>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Sale, Mortgage, Lease, Exchange, Gift</w:t>
            </w:r>
          </w:p>
        </w:tc>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w:t>
            </w:r>
          </w:p>
        </w:tc>
      </w:tr>
      <w:tr w:rsidR="00F36A28">
        <w:tblPrEx>
          <w:tblCellMar>
            <w:top w:w="0" w:type="dxa"/>
            <w:bottom w:w="0" w:type="dxa"/>
          </w:tblCellMar>
        </w:tblPrEx>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Contract Act, 1872</w:t>
            </w:r>
          </w:p>
        </w:tc>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Formation, Performance, Breach, Remedies</w:t>
            </w:r>
          </w:p>
        </w:tc>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w:t>
            </w:r>
          </w:p>
        </w:tc>
      </w:tr>
      <w:tr w:rsidR="00F36A28">
        <w:tblPrEx>
          <w:tblCellMar>
            <w:top w:w="0" w:type="dxa"/>
            <w:bottom w:w="0" w:type="dxa"/>
          </w:tblCellMar>
        </w:tblPrEx>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Specific Relief Act</w:t>
            </w:r>
          </w:p>
        </w:tc>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Specific Performance, Injunctions</w:t>
            </w:r>
          </w:p>
        </w:tc>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w:t>
            </w:r>
          </w:p>
        </w:tc>
      </w:tr>
      <w:tr w:rsidR="00F36A28">
        <w:tblPrEx>
          <w:tblCellMar>
            <w:top w:w="0" w:type="dxa"/>
            <w:bottom w:w="0" w:type="dxa"/>
          </w:tblCellMar>
        </w:tblPrEx>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Limitation Act</w:t>
            </w:r>
          </w:p>
        </w:tc>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Periods, Computation, Condonation</w:t>
            </w:r>
          </w:p>
        </w:tc>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w:t>
            </w:r>
          </w:p>
        </w:tc>
      </w:tr>
      <w:tr w:rsidR="00F36A28">
        <w:tblPrEx>
          <w:tblCellMar>
            <w:top w:w="0" w:type="dxa"/>
            <w:bottom w:w="0" w:type="dxa"/>
          </w:tblCellMar>
        </w:tblPrEx>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Constitutional Law</w:t>
            </w:r>
          </w:p>
        </w:tc>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Fundamental Rights, Directive Principles, Judiciary</w:t>
            </w:r>
          </w:p>
        </w:tc>
        <w:tc>
          <w:tcPr>
            <w:tcW w:w="3248"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w:t>
            </w:r>
          </w:p>
        </w:tc>
      </w:tr>
      <w:tr w:rsidR="00F36A28">
        <w:tblPrEx>
          <w:tblCellMar>
            <w:top w:w="0" w:type="dxa"/>
            <w:bottom w:w="0" w:type="dxa"/>
          </w:tblCellMar>
        </w:tblPrEx>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Hindu Personal Laws / Muslim Personal Laws</w:t>
            </w:r>
          </w:p>
        </w:tc>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Marriage, Succession, Adoption</w:t>
            </w:r>
          </w:p>
        </w:tc>
        <w:tc>
          <w:tcPr>
            <w:tcW w:w="3248"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w:t>
            </w:r>
          </w:p>
        </w:tc>
      </w:tr>
    </w:tbl>
    <w:p w:rsidR="00F36A28" w:rsidRDefault="00F36A28">
      <w:pPr>
        <w:spacing w:after="200"/>
      </w:pPr>
    </w:p>
    <w:p w:rsidR="00F36A28" w:rsidRDefault="00000000">
      <w:pPr>
        <w:shd w:val="clear" w:color="auto" w:fill="1A2B5E"/>
        <w:spacing w:before="300" w:after="200"/>
        <w:ind w:left="160" w:right="160"/>
      </w:pPr>
      <w:r>
        <w:rPr>
          <w:b/>
          <w:bCs/>
          <w:color w:val="FFFFFF"/>
          <w:sz w:val="28"/>
          <w:szCs w:val="28"/>
        </w:rPr>
        <w:lastRenderedPageBreak/>
        <w:t>YEAR-BY-YEAR PREPARATION PLAN</w:t>
      </w:r>
    </w:p>
    <w:p w:rsidR="00F36A28" w:rsidRDefault="00F36A28">
      <w:pPr>
        <w:spacing w:after="80"/>
      </w:pPr>
    </w:p>
    <w:p w:rsidR="00F36A28" w:rsidRDefault="00000000">
      <w:pPr>
        <w:pBdr>
          <w:bottom w:val="single" w:sz="2" w:space="0" w:color="C9A84C"/>
        </w:pBdr>
        <w:spacing w:before="240" w:after="120"/>
      </w:pPr>
      <w:r>
        <w:rPr>
          <w:b/>
          <w:bCs/>
          <w:color w:val="1A2B5E"/>
          <w:sz w:val="24"/>
          <w:szCs w:val="24"/>
        </w:rPr>
        <w:t>Law School Years (1st–3rd Year) — Foundation Phase</w:t>
      </w:r>
    </w:p>
    <w:p w:rsidR="00F36A28" w:rsidRDefault="00000000">
      <w:pPr>
        <w:pStyle w:val="ListParagraph"/>
        <w:numPr>
          <w:ilvl w:val="0"/>
          <w:numId w:val="3"/>
        </w:numPr>
        <w:spacing w:after="80"/>
      </w:pPr>
      <w:r>
        <w:rPr>
          <w:color w:val="1A1A1A"/>
        </w:rPr>
        <w:t>Pay special attention to CPC, CrPC, Evidence, IPC in class — these are the core exam subjects</w:t>
      </w:r>
    </w:p>
    <w:p w:rsidR="00F36A28" w:rsidRDefault="00000000">
      <w:pPr>
        <w:pStyle w:val="ListParagraph"/>
        <w:numPr>
          <w:ilvl w:val="0"/>
          <w:numId w:val="3"/>
        </w:numPr>
        <w:spacing w:after="80"/>
      </w:pPr>
      <w:r>
        <w:rPr>
          <w:color w:val="1A1A1A"/>
        </w:rPr>
        <w:t>Read bare acts from Day 1 — cultivate the habit of reading statutes directly</w:t>
      </w:r>
    </w:p>
    <w:p w:rsidR="00F36A28" w:rsidRDefault="00000000">
      <w:pPr>
        <w:pStyle w:val="ListParagraph"/>
        <w:numPr>
          <w:ilvl w:val="0"/>
          <w:numId w:val="3"/>
        </w:numPr>
        <w:spacing w:after="80"/>
      </w:pPr>
      <w:r>
        <w:rPr>
          <w:color w:val="1A1A1A"/>
        </w:rPr>
        <w:t>Attend district court proceedings and observe judicial temperament</w:t>
      </w:r>
    </w:p>
    <w:p w:rsidR="00F36A28" w:rsidRDefault="00000000">
      <w:pPr>
        <w:pStyle w:val="ListParagraph"/>
        <w:numPr>
          <w:ilvl w:val="0"/>
          <w:numId w:val="3"/>
        </w:numPr>
        <w:spacing w:after="80"/>
      </w:pPr>
      <w:r>
        <w:rPr>
          <w:color w:val="1A1A1A"/>
        </w:rPr>
        <w:t>Begin reading HC and SC judgments on procedural matters</w:t>
      </w:r>
    </w:p>
    <w:p w:rsidR="00F36A28" w:rsidRDefault="00F36A28">
      <w:pPr>
        <w:spacing w:after="80"/>
      </w:pPr>
    </w:p>
    <w:p w:rsidR="00F36A28" w:rsidRDefault="00000000">
      <w:pPr>
        <w:pBdr>
          <w:bottom w:val="single" w:sz="2" w:space="0" w:color="C9A84C"/>
        </w:pBdr>
        <w:spacing w:before="240" w:after="120"/>
      </w:pPr>
      <w:r>
        <w:rPr>
          <w:b/>
          <w:bCs/>
          <w:color w:val="1A2B5E"/>
          <w:sz w:val="24"/>
          <w:szCs w:val="24"/>
        </w:rPr>
        <w:t>3rd–4th Year — Awareness &amp; Light Prep Phase</w:t>
      </w:r>
    </w:p>
    <w:p w:rsidR="00F36A28" w:rsidRDefault="00000000">
      <w:pPr>
        <w:pStyle w:val="ListParagraph"/>
        <w:numPr>
          <w:ilvl w:val="0"/>
          <w:numId w:val="3"/>
        </w:numPr>
        <w:spacing w:after="80"/>
      </w:pPr>
      <w:r>
        <w:rPr>
          <w:color w:val="1A1A1A"/>
        </w:rPr>
        <w:t>Download and study past years' question papers of 2–3 state judicial exams</w:t>
      </w:r>
    </w:p>
    <w:p w:rsidR="00F36A28" w:rsidRDefault="00000000">
      <w:pPr>
        <w:pStyle w:val="ListParagraph"/>
        <w:numPr>
          <w:ilvl w:val="0"/>
          <w:numId w:val="3"/>
        </w:numPr>
        <w:spacing w:after="80"/>
      </w:pPr>
      <w:r>
        <w:rPr>
          <w:color w:val="1A1A1A"/>
        </w:rPr>
        <w:t>Join a judicial services study group or online community</w:t>
      </w:r>
    </w:p>
    <w:p w:rsidR="00F36A28" w:rsidRDefault="00000000">
      <w:pPr>
        <w:pStyle w:val="ListParagraph"/>
        <w:numPr>
          <w:ilvl w:val="0"/>
          <w:numId w:val="3"/>
        </w:numPr>
        <w:spacing w:after="80"/>
      </w:pPr>
      <w:r>
        <w:rPr>
          <w:color w:val="1A1A1A"/>
        </w:rPr>
        <w:t>Begin systematic reading of one subject per month (CPC in Month 1, CrPC in Month 2, etc.)</w:t>
      </w:r>
    </w:p>
    <w:p w:rsidR="00F36A28" w:rsidRDefault="00000000">
      <w:pPr>
        <w:pStyle w:val="ListParagraph"/>
        <w:numPr>
          <w:ilvl w:val="0"/>
          <w:numId w:val="3"/>
        </w:numPr>
        <w:spacing w:after="80"/>
      </w:pPr>
      <w:r>
        <w:rPr>
          <w:color w:val="1A1A1A"/>
        </w:rPr>
        <w:t>Practice 10 MCQs per day on legal subjects</w:t>
      </w:r>
    </w:p>
    <w:p w:rsidR="00F36A28" w:rsidRDefault="00F36A28">
      <w:pPr>
        <w:spacing w:after="80"/>
      </w:pPr>
    </w:p>
    <w:p w:rsidR="00F36A28" w:rsidRDefault="00000000">
      <w:pPr>
        <w:pBdr>
          <w:bottom w:val="single" w:sz="2" w:space="0" w:color="C9A84C"/>
        </w:pBdr>
        <w:spacing w:before="240" w:after="120"/>
      </w:pPr>
      <w:r>
        <w:rPr>
          <w:b/>
          <w:bCs/>
          <w:color w:val="1A2B5E"/>
          <w:sz w:val="24"/>
          <w:szCs w:val="24"/>
        </w:rPr>
        <w:t>5th Year / Post-Graduation — Intensive Preparation Phase</w:t>
      </w:r>
    </w:p>
    <w:p w:rsidR="00F36A28" w:rsidRDefault="00000000">
      <w:pPr>
        <w:pStyle w:val="ListParagraph"/>
        <w:numPr>
          <w:ilvl w:val="0"/>
          <w:numId w:val="3"/>
        </w:numPr>
        <w:spacing w:after="80"/>
      </w:pPr>
      <w:r>
        <w:rPr>
          <w:color w:val="1A1A1A"/>
        </w:rPr>
        <w:t>Dedicate 6–8 hours per day to judicial services preparation</w:t>
      </w:r>
    </w:p>
    <w:p w:rsidR="00F36A28" w:rsidRDefault="00000000">
      <w:pPr>
        <w:pStyle w:val="ListParagraph"/>
        <w:numPr>
          <w:ilvl w:val="0"/>
          <w:numId w:val="3"/>
        </w:numPr>
        <w:spacing w:after="80"/>
      </w:pPr>
      <w:r>
        <w:rPr>
          <w:color w:val="1A1A1A"/>
        </w:rPr>
        <w:t>Complete at least 2 full revisions of CPC, CrPC, Evidence, IPC</w:t>
      </w:r>
    </w:p>
    <w:p w:rsidR="00F36A28" w:rsidRDefault="00000000">
      <w:pPr>
        <w:pStyle w:val="ListParagraph"/>
        <w:numPr>
          <w:ilvl w:val="0"/>
          <w:numId w:val="3"/>
        </w:numPr>
        <w:spacing w:after="80"/>
      </w:pPr>
      <w:r>
        <w:rPr>
          <w:color w:val="1A1A1A"/>
        </w:rPr>
        <w:t>Write answer practice — solve 5 descriptive questions per week</w:t>
      </w:r>
    </w:p>
    <w:p w:rsidR="00F36A28" w:rsidRDefault="00000000">
      <w:pPr>
        <w:pStyle w:val="ListParagraph"/>
        <w:numPr>
          <w:ilvl w:val="0"/>
          <w:numId w:val="3"/>
        </w:numPr>
        <w:spacing w:after="80"/>
      </w:pPr>
      <w:r>
        <w:rPr>
          <w:color w:val="1A1A1A"/>
        </w:rPr>
        <w:t>Solve 3–5 previous year papers under exam conditions</w:t>
      </w:r>
    </w:p>
    <w:p w:rsidR="00F36A28" w:rsidRDefault="00000000">
      <w:pPr>
        <w:pStyle w:val="ListParagraph"/>
        <w:numPr>
          <w:ilvl w:val="0"/>
          <w:numId w:val="3"/>
        </w:numPr>
        <w:spacing w:after="80"/>
      </w:pPr>
      <w:r>
        <w:rPr>
          <w:color w:val="1A1A1A"/>
        </w:rPr>
        <w:t>Join a mock interview / viva voce preparation program</w:t>
      </w:r>
    </w:p>
    <w:p w:rsidR="00F36A28" w:rsidRDefault="00F36A28">
      <w:pPr>
        <w:spacing w:after="200"/>
      </w:pPr>
    </w:p>
    <w:p w:rsidR="00F36A28" w:rsidRDefault="00000000">
      <w:pPr>
        <w:shd w:val="clear" w:color="auto" w:fill="1A2B5E"/>
        <w:spacing w:before="300" w:after="200"/>
        <w:ind w:left="160" w:right="160"/>
      </w:pPr>
      <w:r>
        <w:rPr>
          <w:b/>
          <w:bCs/>
          <w:color w:val="FFFFFF"/>
          <w:sz w:val="28"/>
          <w:szCs w:val="28"/>
        </w:rPr>
        <w:t>RECOMMENDED STUDY RESOURCES</w:t>
      </w:r>
    </w:p>
    <w:p w:rsidR="00F36A28" w:rsidRDefault="00F36A28">
      <w:pPr>
        <w:spacing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73"/>
        <w:gridCol w:w="4873"/>
      </w:tblGrid>
      <w:tr w:rsidR="00F36A28">
        <w:tblPrEx>
          <w:tblCellMar>
            <w:top w:w="0" w:type="dxa"/>
            <w:bottom w:w="0" w:type="dxa"/>
          </w:tblCellMar>
        </w:tblPrEx>
        <w:trPr>
          <w:tblHeader/>
        </w:trPr>
        <w:tc>
          <w:tcPr>
            <w:tcW w:w="4873" w:type="dxa"/>
            <w:tcBorders>
              <w:top w:val="single" w:sz="1" w:space="0" w:color="CCCCCC"/>
              <w:left w:val="single" w:sz="1" w:space="0" w:color="CCCCCC"/>
              <w:bottom w:val="single" w:sz="1" w:space="0" w:color="CCCCCC"/>
              <w:right w:val="single" w:sz="1" w:space="0" w:color="CCCCCC"/>
            </w:tcBorders>
            <w:shd w:val="clear" w:color="auto" w:fill="1A2B5E"/>
            <w:tcMar>
              <w:top w:w="100" w:type="dxa"/>
              <w:left w:w="120" w:type="dxa"/>
              <w:bottom w:w="100" w:type="dxa"/>
              <w:right w:w="120" w:type="dxa"/>
            </w:tcMar>
          </w:tcPr>
          <w:p w:rsidR="00F36A28" w:rsidRDefault="00000000">
            <w:pPr>
              <w:jc w:val="center"/>
            </w:pPr>
            <w:r>
              <w:rPr>
                <w:b/>
                <w:bCs/>
                <w:color w:val="FFFFFF"/>
                <w:sz w:val="20"/>
                <w:szCs w:val="20"/>
              </w:rPr>
              <w:t>Subject</w:t>
            </w:r>
          </w:p>
        </w:tc>
        <w:tc>
          <w:tcPr>
            <w:tcW w:w="4873" w:type="dxa"/>
            <w:tcBorders>
              <w:top w:val="single" w:sz="1" w:space="0" w:color="CCCCCC"/>
              <w:left w:val="single" w:sz="1" w:space="0" w:color="CCCCCC"/>
              <w:bottom w:val="single" w:sz="1" w:space="0" w:color="CCCCCC"/>
              <w:right w:val="single" w:sz="1" w:space="0" w:color="CCCCCC"/>
            </w:tcBorders>
            <w:shd w:val="clear" w:color="auto" w:fill="1A2B5E"/>
            <w:tcMar>
              <w:top w:w="100" w:type="dxa"/>
              <w:left w:w="120" w:type="dxa"/>
              <w:bottom w:w="100" w:type="dxa"/>
              <w:right w:w="120" w:type="dxa"/>
            </w:tcMar>
          </w:tcPr>
          <w:p w:rsidR="00F36A28" w:rsidRDefault="00000000">
            <w:pPr>
              <w:jc w:val="center"/>
            </w:pPr>
            <w:r>
              <w:rPr>
                <w:b/>
                <w:bCs/>
                <w:color w:val="FFFFFF"/>
                <w:sz w:val="20"/>
                <w:szCs w:val="20"/>
              </w:rPr>
              <w:t>Recommended Book/Resource</w:t>
            </w:r>
          </w:p>
        </w:tc>
      </w:tr>
      <w:tr w:rsidR="00F36A28">
        <w:tblPrEx>
          <w:tblCellMar>
            <w:top w:w="0" w:type="dxa"/>
            <w:bottom w:w="0" w:type="dxa"/>
          </w:tblCellMar>
        </w:tblPrEx>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CPC</w:t>
            </w:r>
          </w:p>
        </w:tc>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 xml:space="preserve">C.K. </w:t>
            </w:r>
            <w:proofErr w:type="spellStart"/>
            <w:r>
              <w:rPr>
                <w:color w:val="1A1A1A"/>
                <w:sz w:val="20"/>
                <w:szCs w:val="20"/>
              </w:rPr>
              <w:t>Takwani</w:t>
            </w:r>
            <w:proofErr w:type="spellEnd"/>
            <w:r>
              <w:rPr>
                <w:color w:val="1A1A1A"/>
                <w:sz w:val="20"/>
                <w:szCs w:val="20"/>
              </w:rPr>
              <w:t xml:space="preserve"> — Civil Procedure, Mulla's Code of Civil Procedure</w:t>
            </w:r>
          </w:p>
        </w:tc>
      </w:tr>
      <w:tr w:rsidR="00F36A28">
        <w:tblPrEx>
          <w:tblCellMar>
            <w:top w:w="0" w:type="dxa"/>
            <w:bottom w:w="0" w:type="dxa"/>
          </w:tblCellMar>
        </w:tblPrEx>
        <w:tc>
          <w:tcPr>
            <w:tcW w:w="4873"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CrPC / BNSS</w:t>
            </w:r>
          </w:p>
        </w:tc>
        <w:tc>
          <w:tcPr>
            <w:tcW w:w="4873"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 xml:space="preserve">R.V. Kelkar's Criminal Procedure, </w:t>
            </w:r>
            <w:proofErr w:type="spellStart"/>
            <w:r>
              <w:rPr>
                <w:color w:val="1A1A1A"/>
                <w:sz w:val="20"/>
                <w:szCs w:val="20"/>
              </w:rPr>
              <w:t>Ratanlal</w:t>
            </w:r>
            <w:proofErr w:type="spellEnd"/>
            <w:r>
              <w:rPr>
                <w:color w:val="1A1A1A"/>
                <w:sz w:val="20"/>
                <w:szCs w:val="20"/>
              </w:rPr>
              <w:t xml:space="preserve"> &amp; </w:t>
            </w:r>
            <w:proofErr w:type="spellStart"/>
            <w:r>
              <w:rPr>
                <w:color w:val="1A1A1A"/>
                <w:sz w:val="20"/>
                <w:szCs w:val="20"/>
              </w:rPr>
              <w:t>Dhirajlal</w:t>
            </w:r>
            <w:proofErr w:type="spellEnd"/>
          </w:p>
        </w:tc>
      </w:tr>
      <w:tr w:rsidR="00F36A28">
        <w:tblPrEx>
          <w:tblCellMar>
            <w:top w:w="0" w:type="dxa"/>
            <w:bottom w:w="0" w:type="dxa"/>
          </w:tblCellMar>
        </w:tblPrEx>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Evidence</w:t>
            </w:r>
          </w:p>
        </w:tc>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proofErr w:type="spellStart"/>
            <w:r>
              <w:rPr>
                <w:color w:val="1A1A1A"/>
                <w:sz w:val="20"/>
                <w:szCs w:val="20"/>
              </w:rPr>
              <w:t>Vepa</w:t>
            </w:r>
            <w:proofErr w:type="spellEnd"/>
            <w:r>
              <w:rPr>
                <w:color w:val="1A1A1A"/>
                <w:sz w:val="20"/>
                <w:szCs w:val="20"/>
              </w:rPr>
              <w:t xml:space="preserve"> </w:t>
            </w:r>
            <w:proofErr w:type="spellStart"/>
            <w:r>
              <w:rPr>
                <w:color w:val="1A1A1A"/>
                <w:sz w:val="20"/>
                <w:szCs w:val="20"/>
              </w:rPr>
              <w:t>Sarathi's</w:t>
            </w:r>
            <w:proofErr w:type="spellEnd"/>
            <w:r>
              <w:rPr>
                <w:color w:val="1A1A1A"/>
                <w:sz w:val="20"/>
                <w:szCs w:val="20"/>
              </w:rPr>
              <w:t xml:space="preserve"> Law of Evidence, </w:t>
            </w:r>
            <w:proofErr w:type="spellStart"/>
            <w:r>
              <w:rPr>
                <w:color w:val="1A1A1A"/>
                <w:sz w:val="20"/>
                <w:szCs w:val="20"/>
              </w:rPr>
              <w:t>Batuk</w:t>
            </w:r>
            <w:proofErr w:type="spellEnd"/>
            <w:r>
              <w:rPr>
                <w:color w:val="1A1A1A"/>
                <w:sz w:val="20"/>
                <w:szCs w:val="20"/>
              </w:rPr>
              <w:t xml:space="preserve"> Lal</w:t>
            </w:r>
          </w:p>
        </w:tc>
      </w:tr>
      <w:tr w:rsidR="00F36A28">
        <w:tblPrEx>
          <w:tblCellMar>
            <w:top w:w="0" w:type="dxa"/>
            <w:bottom w:w="0" w:type="dxa"/>
          </w:tblCellMar>
        </w:tblPrEx>
        <w:tc>
          <w:tcPr>
            <w:tcW w:w="4873"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IPC / BNS</w:t>
            </w:r>
          </w:p>
        </w:tc>
        <w:tc>
          <w:tcPr>
            <w:tcW w:w="4873"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proofErr w:type="spellStart"/>
            <w:r>
              <w:rPr>
                <w:color w:val="1A1A1A"/>
                <w:sz w:val="20"/>
                <w:szCs w:val="20"/>
              </w:rPr>
              <w:t>Ratanlal</w:t>
            </w:r>
            <w:proofErr w:type="spellEnd"/>
            <w:r>
              <w:rPr>
                <w:color w:val="1A1A1A"/>
                <w:sz w:val="20"/>
                <w:szCs w:val="20"/>
              </w:rPr>
              <w:t xml:space="preserve"> &amp; </w:t>
            </w:r>
            <w:proofErr w:type="spellStart"/>
            <w:r>
              <w:rPr>
                <w:color w:val="1A1A1A"/>
                <w:sz w:val="20"/>
                <w:szCs w:val="20"/>
              </w:rPr>
              <w:t>Dhirajlal's</w:t>
            </w:r>
            <w:proofErr w:type="spellEnd"/>
            <w:r>
              <w:rPr>
                <w:color w:val="1A1A1A"/>
                <w:sz w:val="20"/>
                <w:szCs w:val="20"/>
              </w:rPr>
              <w:t xml:space="preserve"> IPC, K.D. Gaur</w:t>
            </w:r>
          </w:p>
        </w:tc>
      </w:tr>
      <w:tr w:rsidR="00F36A28">
        <w:tblPrEx>
          <w:tblCellMar>
            <w:top w:w="0" w:type="dxa"/>
            <w:bottom w:w="0" w:type="dxa"/>
          </w:tblCellMar>
        </w:tblPrEx>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Transfer of Property</w:t>
            </w:r>
          </w:p>
        </w:tc>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Mulla's Transfer of Property Act</w:t>
            </w:r>
          </w:p>
        </w:tc>
      </w:tr>
      <w:tr w:rsidR="00F36A28">
        <w:tblPrEx>
          <w:tblCellMar>
            <w:top w:w="0" w:type="dxa"/>
            <w:bottom w:w="0" w:type="dxa"/>
          </w:tblCellMar>
        </w:tblPrEx>
        <w:tc>
          <w:tcPr>
            <w:tcW w:w="4873"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Contract</w:t>
            </w:r>
          </w:p>
        </w:tc>
        <w:tc>
          <w:tcPr>
            <w:tcW w:w="4873"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Pollock &amp; Mulla, Avtar Singh</w:t>
            </w:r>
          </w:p>
        </w:tc>
      </w:tr>
      <w:tr w:rsidR="00F36A28">
        <w:tblPrEx>
          <w:tblCellMar>
            <w:top w:w="0" w:type="dxa"/>
            <w:bottom w:w="0" w:type="dxa"/>
          </w:tblCellMar>
        </w:tblPrEx>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Constitutional Law</w:t>
            </w:r>
          </w:p>
        </w:tc>
        <w:tc>
          <w:tcPr>
            <w:tcW w:w="487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rsidR="00F36A28" w:rsidRDefault="00000000">
            <w:r>
              <w:rPr>
                <w:color w:val="1A1A1A"/>
                <w:sz w:val="20"/>
                <w:szCs w:val="20"/>
              </w:rPr>
              <w:t>M.P. Jain's Indian Constitutional Law</w:t>
            </w:r>
          </w:p>
        </w:tc>
      </w:tr>
      <w:tr w:rsidR="00F36A28">
        <w:tblPrEx>
          <w:tblCellMar>
            <w:top w:w="0" w:type="dxa"/>
            <w:bottom w:w="0" w:type="dxa"/>
          </w:tblCellMar>
        </w:tblPrEx>
        <w:tc>
          <w:tcPr>
            <w:tcW w:w="4873"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General Practice</w:t>
            </w:r>
          </w:p>
        </w:tc>
        <w:tc>
          <w:tcPr>
            <w:tcW w:w="4873" w:type="dxa"/>
            <w:tcBorders>
              <w:top w:val="single" w:sz="1" w:space="0" w:color="CCCCCC"/>
              <w:left w:val="single" w:sz="1" w:space="0" w:color="CCCCCC"/>
              <w:bottom w:val="single" w:sz="1" w:space="0" w:color="CCCCCC"/>
              <w:right w:val="single" w:sz="1" w:space="0" w:color="CCCCCC"/>
            </w:tcBorders>
            <w:shd w:val="clear" w:color="auto" w:fill="F2F4F8"/>
            <w:tcMar>
              <w:top w:w="80" w:type="dxa"/>
              <w:left w:w="120" w:type="dxa"/>
              <w:bottom w:w="80" w:type="dxa"/>
              <w:right w:w="120" w:type="dxa"/>
            </w:tcMar>
          </w:tcPr>
          <w:p w:rsidR="00F36A28" w:rsidRDefault="00000000">
            <w:r>
              <w:rPr>
                <w:color w:val="1A1A1A"/>
                <w:sz w:val="20"/>
                <w:szCs w:val="20"/>
              </w:rPr>
              <w:t xml:space="preserve">Indian Kanoon, SCC Online (student access), </w:t>
            </w:r>
            <w:proofErr w:type="spellStart"/>
            <w:r>
              <w:rPr>
                <w:color w:val="1A1A1A"/>
                <w:sz w:val="20"/>
                <w:szCs w:val="20"/>
              </w:rPr>
              <w:t>Manupatra</w:t>
            </w:r>
            <w:proofErr w:type="spellEnd"/>
          </w:p>
        </w:tc>
      </w:tr>
    </w:tbl>
    <w:p w:rsidR="00F36A28" w:rsidRDefault="00F36A28">
      <w:pPr>
        <w:spacing w:after="200"/>
      </w:pPr>
    </w:p>
    <w:p w:rsidR="00F36A28" w:rsidRDefault="00000000">
      <w:pPr>
        <w:shd w:val="clear" w:color="auto" w:fill="1A2B5E"/>
        <w:spacing w:before="300" w:after="200"/>
        <w:ind w:left="160" w:right="160"/>
      </w:pPr>
      <w:r>
        <w:rPr>
          <w:b/>
          <w:bCs/>
          <w:color w:val="FFFFFF"/>
          <w:sz w:val="28"/>
          <w:szCs w:val="28"/>
        </w:rPr>
        <w:t>EXAM-READY CHECKLIST</w:t>
      </w:r>
    </w:p>
    <w:p w:rsidR="00F36A28" w:rsidRDefault="00F36A28">
      <w:pPr>
        <w:spacing w:after="80"/>
      </w:pPr>
    </w:p>
    <w:p w:rsidR="00F36A28" w:rsidRDefault="00000000">
      <w:pPr>
        <w:pStyle w:val="ListParagraph"/>
        <w:numPr>
          <w:ilvl w:val="0"/>
          <w:numId w:val="4"/>
        </w:numPr>
        <w:spacing w:after="100"/>
      </w:pPr>
      <w:r>
        <w:rPr>
          <w:color w:val="1A1A1A"/>
        </w:rPr>
        <w:t>Completed reading of CPC (all 158 sections + Orders)</w:t>
      </w:r>
    </w:p>
    <w:p w:rsidR="00F36A28" w:rsidRDefault="00000000">
      <w:pPr>
        <w:pStyle w:val="ListParagraph"/>
        <w:numPr>
          <w:ilvl w:val="0"/>
          <w:numId w:val="4"/>
        </w:numPr>
        <w:spacing w:after="100"/>
      </w:pPr>
      <w:r>
        <w:rPr>
          <w:color w:val="1A1A1A"/>
        </w:rPr>
        <w:t>Completed reading of CrPC / BNSS (all chapters)</w:t>
      </w:r>
    </w:p>
    <w:p w:rsidR="00F36A28" w:rsidRDefault="00000000">
      <w:pPr>
        <w:pStyle w:val="ListParagraph"/>
        <w:numPr>
          <w:ilvl w:val="0"/>
          <w:numId w:val="4"/>
        </w:numPr>
        <w:spacing w:after="100"/>
      </w:pPr>
      <w:r>
        <w:rPr>
          <w:color w:val="1A1A1A"/>
        </w:rPr>
        <w:t>Completed Indian Evidence Act (all 167 sections)</w:t>
      </w:r>
    </w:p>
    <w:p w:rsidR="00F36A28" w:rsidRDefault="00000000">
      <w:pPr>
        <w:pStyle w:val="ListParagraph"/>
        <w:numPr>
          <w:ilvl w:val="0"/>
          <w:numId w:val="4"/>
        </w:numPr>
        <w:spacing w:after="100"/>
      </w:pPr>
      <w:r>
        <w:rPr>
          <w:color w:val="1A1A1A"/>
        </w:rPr>
        <w:t>Completed IPC / BNS (all chapters and schedules)</w:t>
      </w:r>
    </w:p>
    <w:p w:rsidR="00F36A28" w:rsidRDefault="00000000">
      <w:pPr>
        <w:pStyle w:val="ListParagraph"/>
        <w:numPr>
          <w:ilvl w:val="0"/>
          <w:numId w:val="4"/>
        </w:numPr>
        <w:spacing w:after="100"/>
      </w:pPr>
      <w:r>
        <w:rPr>
          <w:color w:val="1A1A1A"/>
        </w:rPr>
        <w:t>Solved at least 5 previous year question papers</w:t>
      </w:r>
    </w:p>
    <w:p w:rsidR="00F36A28" w:rsidRDefault="00000000">
      <w:pPr>
        <w:pStyle w:val="ListParagraph"/>
        <w:numPr>
          <w:ilvl w:val="0"/>
          <w:numId w:val="4"/>
        </w:numPr>
        <w:spacing w:after="100"/>
      </w:pPr>
      <w:r>
        <w:rPr>
          <w:color w:val="1A1A1A"/>
        </w:rPr>
        <w:t>Written at least 50 descriptive answers for practice</w:t>
      </w:r>
    </w:p>
    <w:p w:rsidR="00F36A28" w:rsidRDefault="00000000">
      <w:pPr>
        <w:pStyle w:val="ListParagraph"/>
        <w:numPr>
          <w:ilvl w:val="0"/>
          <w:numId w:val="4"/>
        </w:numPr>
        <w:spacing w:after="100"/>
      </w:pPr>
      <w:r>
        <w:rPr>
          <w:color w:val="1A1A1A"/>
        </w:rPr>
        <w:t>Enrolled as an Advocate with State Bar Council</w:t>
      </w:r>
    </w:p>
    <w:p w:rsidR="00F36A28" w:rsidRDefault="00000000">
      <w:pPr>
        <w:pStyle w:val="ListParagraph"/>
        <w:numPr>
          <w:ilvl w:val="0"/>
          <w:numId w:val="4"/>
        </w:numPr>
        <w:spacing w:after="100"/>
      </w:pPr>
      <w:r>
        <w:rPr>
          <w:color w:val="1A1A1A"/>
        </w:rPr>
        <w:t>Checked eligibility and notification for target state exam</w:t>
      </w:r>
    </w:p>
    <w:p w:rsidR="00F36A28" w:rsidRDefault="00000000">
      <w:pPr>
        <w:pStyle w:val="ListParagraph"/>
        <w:numPr>
          <w:ilvl w:val="0"/>
          <w:numId w:val="4"/>
        </w:numPr>
        <w:spacing w:after="100"/>
      </w:pPr>
      <w:r>
        <w:rPr>
          <w:color w:val="1A1A1A"/>
        </w:rPr>
        <w:t>Prepared for regional language paper (if applicable)</w:t>
      </w:r>
    </w:p>
    <w:p w:rsidR="00F36A28" w:rsidRDefault="00000000">
      <w:pPr>
        <w:pStyle w:val="ListParagraph"/>
        <w:numPr>
          <w:ilvl w:val="0"/>
          <w:numId w:val="4"/>
        </w:numPr>
        <w:spacing w:after="100"/>
      </w:pPr>
      <w:r>
        <w:rPr>
          <w:color w:val="1A1A1A"/>
        </w:rPr>
        <w:t>Attended at least one mock viva / interview preparation session</w:t>
      </w:r>
    </w:p>
    <w:p w:rsidR="00F36A28" w:rsidRDefault="00F36A28">
      <w:pPr>
        <w:spacing w:after="200"/>
      </w:pPr>
    </w:p>
    <w:p w:rsidR="00F36A28" w:rsidRDefault="00000000">
      <w:pPr>
        <w:shd w:val="clear" w:color="auto" w:fill="1A2B5E"/>
        <w:spacing w:before="300" w:after="200"/>
        <w:ind w:left="160" w:right="160"/>
      </w:pPr>
      <w:r>
        <w:rPr>
          <w:b/>
          <w:bCs/>
          <w:color w:val="FFFFFF"/>
          <w:sz w:val="28"/>
          <w:szCs w:val="28"/>
        </w:rPr>
        <w:t>GET MENTORED BY GURU LEGAL</w:t>
      </w:r>
    </w:p>
    <w:p w:rsidR="00F36A28" w:rsidRDefault="00F36A28">
      <w:pPr>
        <w:spacing w:after="80"/>
      </w:pPr>
    </w:p>
    <w:p w:rsidR="00F36A28" w:rsidRDefault="00000000">
      <w:pPr>
        <w:spacing w:after="120"/>
      </w:pPr>
      <w:r>
        <w:rPr>
          <w:color w:val="1A1A1A"/>
        </w:rPr>
        <w:t>Guru Legal offers dedicated 1-on-1 mentorship for Judicial Services aspirants. Our mentors include advocates with litigation experience who can guide you on exam strategy, subject preparation, and viva voce preparation.</w:t>
      </w:r>
    </w:p>
    <w:p w:rsidR="00F36A28" w:rsidRDefault="00F36A28">
      <w:pPr>
        <w:spacing w:after="80"/>
      </w:pPr>
    </w:p>
    <w:p w:rsidR="00F36A28" w:rsidRDefault="00000000">
      <w:pPr>
        <w:pStyle w:val="ListParagraph"/>
        <w:numPr>
          <w:ilvl w:val="0"/>
          <w:numId w:val="5"/>
        </w:numPr>
        <w:spacing w:after="80"/>
      </w:pPr>
      <w:r>
        <w:rPr>
          <w:color w:val="1A1A1A"/>
        </w:rPr>
        <w:t>Book Mentorship: www.gurulegal.in/inquiry-now</w:t>
      </w:r>
    </w:p>
    <w:p w:rsidR="00F36A28" w:rsidRDefault="00000000">
      <w:pPr>
        <w:pStyle w:val="ListParagraph"/>
        <w:numPr>
          <w:ilvl w:val="0"/>
          <w:numId w:val="5"/>
        </w:numPr>
        <w:spacing w:after="80"/>
      </w:pPr>
      <w:r>
        <w:rPr>
          <w:color w:val="1A1A1A"/>
        </w:rPr>
        <w:t>WhatsApp: +91-7351771555</w:t>
      </w:r>
    </w:p>
    <w:p w:rsidR="00F36A28" w:rsidRDefault="00000000">
      <w:pPr>
        <w:pStyle w:val="ListParagraph"/>
        <w:numPr>
          <w:ilvl w:val="0"/>
          <w:numId w:val="5"/>
        </w:numPr>
        <w:spacing w:after="80"/>
      </w:pPr>
      <w:r>
        <w:rPr>
          <w:color w:val="1A1A1A"/>
        </w:rPr>
        <w:t>Free Resources &amp; Exam Notes: www.gurulegal.in/exam-notes</w:t>
      </w:r>
    </w:p>
    <w:p w:rsidR="00F36A28" w:rsidRDefault="00000000">
      <w:pPr>
        <w:pStyle w:val="ListParagraph"/>
        <w:numPr>
          <w:ilvl w:val="0"/>
          <w:numId w:val="5"/>
        </w:numPr>
        <w:spacing w:after="80"/>
      </w:pPr>
      <w:r>
        <w:rPr>
          <w:color w:val="1A1A1A"/>
        </w:rPr>
        <w:t>Career Counselling: www.gurulegal.in/career</w:t>
      </w:r>
    </w:p>
    <w:sectPr w:rsidR="00F36A28">
      <w:headerReference w:type="default" r:id="rId7"/>
      <w:footerReference w:type="default" r:id="rId8"/>
      <w:pgSz w:w="11906" w:h="16838"/>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97F18" w:rsidRDefault="00797F18">
      <w:r>
        <w:separator/>
      </w:r>
    </w:p>
  </w:endnote>
  <w:endnote w:type="continuationSeparator" w:id="0">
    <w:p w:rsidR="00797F18" w:rsidRDefault="00797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36A28" w:rsidRDefault="00000000">
    <w:pPr>
      <w:pBdr>
        <w:top w:val="single" w:sz="4" w:space="0" w:color="C9A84C"/>
      </w:pBdr>
      <w:spacing w:before="120"/>
      <w:jc w:val="center"/>
    </w:pPr>
    <w:r>
      <w:rPr>
        <w:color w:val="666666"/>
        <w:sz w:val="16"/>
        <w:szCs w:val="16"/>
      </w:rPr>
      <w:t>© 2025 Guru Legal | Free Career Resource | www.gurulegal.in | WhatsApp: +91-7351771555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97F18" w:rsidRDefault="00797F18">
      <w:r>
        <w:separator/>
      </w:r>
    </w:p>
  </w:footnote>
  <w:footnote w:type="continuationSeparator" w:id="0">
    <w:p w:rsidR="00797F18" w:rsidRDefault="00797F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36A28" w:rsidRDefault="00000000">
    <w:pPr>
      <w:pBdr>
        <w:bottom w:val="single" w:sz="4" w:space="0" w:color="C9A84C"/>
      </w:pBdr>
      <w:shd w:val="clear" w:color="auto" w:fill="1A2B5E"/>
      <w:spacing w:before="160" w:after="160"/>
      <w:jc w:val="center"/>
    </w:pPr>
    <w:r>
      <w:rPr>
        <w:b/>
        <w:bCs/>
        <w:color w:val="FFFFFF"/>
        <w:sz w:val="18"/>
        <w:szCs w:val="18"/>
      </w:rPr>
      <w:t>GURU LEGAL</w:t>
    </w:r>
    <w:r>
      <w:rPr>
        <w:color w:val="C9A84C"/>
        <w:sz w:val="18"/>
        <w:szCs w:val="18"/>
      </w:rPr>
      <w:t xml:space="preserve">   |   </w:t>
    </w:r>
    <w:r>
      <w:rPr>
        <w:color w:val="F5E6C3"/>
        <w:sz w:val="18"/>
        <w:szCs w:val="18"/>
      </w:rPr>
      <w:t>gurulegal.in</w:t>
    </w:r>
    <w:r>
      <w:rPr>
        <w:color w:val="C9A84C"/>
        <w:sz w:val="18"/>
        <w:szCs w:val="18"/>
      </w:rPr>
      <w:t xml:space="preserve">   |   </w:t>
    </w:r>
    <w:r>
      <w:rPr>
        <w:color w:val="F5E6C3"/>
        <w:sz w:val="18"/>
        <w:szCs w:val="18"/>
      </w:rPr>
      <w:t>+91-7351771555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0438E"/>
    <w:multiLevelType w:val="hybridMultilevel"/>
    <w:tmpl w:val="D9065864"/>
    <w:lvl w:ilvl="0" w:tplc="71CC1DCC">
      <w:start w:val="1"/>
      <w:numFmt w:val="decimal"/>
      <w:lvlText w:val="%1."/>
      <w:lvlJc w:val="left"/>
      <w:pPr>
        <w:ind w:left="560" w:hanging="280"/>
      </w:pPr>
    </w:lvl>
    <w:lvl w:ilvl="1" w:tplc="8BB8B71C">
      <w:numFmt w:val="decimal"/>
      <w:lvlText w:val=""/>
      <w:lvlJc w:val="left"/>
    </w:lvl>
    <w:lvl w:ilvl="2" w:tplc="6090E290">
      <w:numFmt w:val="decimal"/>
      <w:lvlText w:val=""/>
      <w:lvlJc w:val="left"/>
    </w:lvl>
    <w:lvl w:ilvl="3" w:tplc="6F7C4E8E">
      <w:numFmt w:val="decimal"/>
      <w:lvlText w:val=""/>
      <w:lvlJc w:val="left"/>
    </w:lvl>
    <w:lvl w:ilvl="4" w:tplc="26A87C44">
      <w:numFmt w:val="decimal"/>
      <w:lvlText w:val=""/>
      <w:lvlJc w:val="left"/>
    </w:lvl>
    <w:lvl w:ilvl="5" w:tplc="BDC839E4">
      <w:numFmt w:val="decimal"/>
      <w:lvlText w:val=""/>
      <w:lvlJc w:val="left"/>
    </w:lvl>
    <w:lvl w:ilvl="6" w:tplc="5B38E8E2">
      <w:numFmt w:val="decimal"/>
      <w:lvlText w:val=""/>
      <w:lvlJc w:val="left"/>
    </w:lvl>
    <w:lvl w:ilvl="7" w:tplc="A5B6EA0C">
      <w:numFmt w:val="decimal"/>
      <w:lvlText w:val=""/>
      <w:lvlJc w:val="left"/>
    </w:lvl>
    <w:lvl w:ilvl="8" w:tplc="67687E84">
      <w:numFmt w:val="decimal"/>
      <w:lvlText w:val=""/>
      <w:lvlJc w:val="left"/>
    </w:lvl>
  </w:abstractNum>
  <w:abstractNum w:abstractNumId="1" w15:restartNumberingAfterBreak="0">
    <w:nsid w:val="103D20FB"/>
    <w:multiLevelType w:val="hybridMultilevel"/>
    <w:tmpl w:val="DBF49F26"/>
    <w:lvl w:ilvl="0" w:tplc="FD1A9920">
      <w:start w:val="1"/>
      <w:numFmt w:val="bullet"/>
      <w:lvlText w:val="•"/>
      <w:lvlJc w:val="left"/>
      <w:pPr>
        <w:ind w:left="560" w:hanging="280"/>
      </w:pPr>
    </w:lvl>
    <w:lvl w:ilvl="1" w:tplc="D5EA21E4">
      <w:numFmt w:val="decimal"/>
      <w:lvlText w:val=""/>
      <w:lvlJc w:val="left"/>
    </w:lvl>
    <w:lvl w:ilvl="2" w:tplc="8610982A">
      <w:numFmt w:val="decimal"/>
      <w:lvlText w:val=""/>
      <w:lvlJc w:val="left"/>
    </w:lvl>
    <w:lvl w:ilvl="3" w:tplc="EC565D48">
      <w:numFmt w:val="decimal"/>
      <w:lvlText w:val=""/>
      <w:lvlJc w:val="left"/>
    </w:lvl>
    <w:lvl w:ilvl="4" w:tplc="EAA8BEBA">
      <w:numFmt w:val="decimal"/>
      <w:lvlText w:val=""/>
      <w:lvlJc w:val="left"/>
    </w:lvl>
    <w:lvl w:ilvl="5" w:tplc="9F6A401A">
      <w:numFmt w:val="decimal"/>
      <w:lvlText w:val=""/>
      <w:lvlJc w:val="left"/>
    </w:lvl>
    <w:lvl w:ilvl="6" w:tplc="79B69DD4">
      <w:numFmt w:val="decimal"/>
      <w:lvlText w:val=""/>
      <w:lvlJc w:val="left"/>
    </w:lvl>
    <w:lvl w:ilvl="7" w:tplc="40D46FF6">
      <w:numFmt w:val="decimal"/>
      <w:lvlText w:val=""/>
      <w:lvlJc w:val="left"/>
    </w:lvl>
    <w:lvl w:ilvl="8" w:tplc="9D4625D4">
      <w:numFmt w:val="decimal"/>
      <w:lvlText w:val=""/>
      <w:lvlJc w:val="left"/>
    </w:lvl>
  </w:abstractNum>
  <w:abstractNum w:abstractNumId="2" w15:restartNumberingAfterBreak="0">
    <w:nsid w:val="24EB10ED"/>
    <w:multiLevelType w:val="hybridMultilevel"/>
    <w:tmpl w:val="2A78C7A2"/>
    <w:lvl w:ilvl="0" w:tplc="462A49E0">
      <w:start w:val="1"/>
      <w:numFmt w:val="bullet"/>
      <w:lvlText w:val="☐"/>
      <w:lvlJc w:val="left"/>
      <w:pPr>
        <w:ind w:left="560" w:hanging="280"/>
      </w:pPr>
    </w:lvl>
    <w:lvl w:ilvl="1" w:tplc="AC281690">
      <w:numFmt w:val="decimal"/>
      <w:lvlText w:val=""/>
      <w:lvlJc w:val="left"/>
    </w:lvl>
    <w:lvl w:ilvl="2" w:tplc="0FC69DA6">
      <w:numFmt w:val="decimal"/>
      <w:lvlText w:val=""/>
      <w:lvlJc w:val="left"/>
    </w:lvl>
    <w:lvl w:ilvl="3" w:tplc="87F8AF06">
      <w:numFmt w:val="decimal"/>
      <w:lvlText w:val=""/>
      <w:lvlJc w:val="left"/>
    </w:lvl>
    <w:lvl w:ilvl="4" w:tplc="E8189C90">
      <w:numFmt w:val="decimal"/>
      <w:lvlText w:val=""/>
      <w:lvlJc w:val="left"/>
    </w:lvl>
    <w:lvl w:ilvl="5" w:tplc="D9786C08">
      <w:numFmt w:val="decimal"/>
      <w:lvlText w:val=""/>
      <w:lvlJc w:val="left"/>
    </w:lvl>
    <w:lvl w:ilvl="6" w:tplc="0032B832">
      <w:numFmt w:val="decimal"/>
      <w:lvlText w:val=""/>
      <w:lvlJc w:val="left"/>
    </w:lvl>
    <w:lvl w:ilvl="7" w:tplc="E8DCE77E">
      <w:numFmt w:val="decimal"/>
      <w:lvlText w:val=""/>
      <w:lvlJc w:val="left"/>
    </w:lvl>
    <w:lvl w:ilvl="8" w:tplc="921A7E86">
      <w:numFmt w:val="decimal"/>
      <w:lvlText w:val=""/>
      <w:lvlJc w:val="left"/>
    </w:lvl>
  </w:abstractNum>
  <w:abstractNum w:abstractNumId="3" w15:restartNumberingAfterBreak="0">
    <w:nsid w:val="3A4D49CD"/>
    <w:multiLevelType w:val="hybridMultilevel"/>
    <w:tmpl w:val="27D0B948"/>
    <w:lvl w:ilvl="0" w:tplc="8DBCD21C">
      <w:start w:val="1"/>
      <w:numFmt w:val="bullet"/>
      <w:lvlText w:val="●"/>
      <w:lvlJc w:val="left"/>
      <w:pPr>
        <w:ind w:left="720" w:hanging="360"/>
      </w:pPr>
    </w:lvl>
    <w:lvl w:ilvl="1" w:tplc="1A9E5EBC">
      <w:start w:val="1"/>
      <w:numFmt w:val="bullet"/>
      <w:lvlText w:val="○"/>
      <w:lvlJc w:val="left"/>
      <w:pPr>
        <w:ind w:left="1440" w:hanging="360"/>
      </w:pPr>
    </w:lvl>
    <w:lvl w:ilvl="2" w:tplc="B93CC02E">
      <w:start w:val="1"/>
      <w:numFmt w:val="bullet"/>
      <w:lvlText w:val="■"/>
      <w:lvlJc w:val="left"/>
      <w:pPr>
        <w:ind w:left="2160" w:hanging="360"/>
      </w:pPr>
    </w:lvl>
    <w:lvl w:ilvl="3" w:tplc="1A4E9AC8">
      <w:start w:val="1"/>
      <w:numFmt w:val="bullet"/>
      <w:lvlText w:val="●"/>
      <w:lvlJc w:val="left"/>
      <w:pPr>
        <w:ind w:left="2880" w:hanging="360"/>
      </w:pPr>
    </w:lvl>
    <w:lvl w:ilvl="4" w:tplc="73B8D0B6">
      <w:start w:val="1"/>
      <w:numFmt w:val="bullet"/>
      <w:lvlText w:val="○"/>
      <w:lvlJc w:val="left"/>
      <w:pPr>
        <w:ind w:left="3600" w:hanging="360"/>
      </w:pPr>
    </w:lvl>
    <w:lvl w:ilvl="5" w:tplc="8D9ADF30">
      <w:start w:val="1"/>
      <w:numFmt w:val="bullet"/>
      <w:lvlText w:val="■"/>
      <w:lvlJc w:val="left"/>
      <w:pPr>
        <w:ind w:left="4320" w:hanging="360"/>
      </w:pPr>
    </w:lvl>
    <w:lvl w:ilvl="6" w:tplc="B3EC005A">
      <w:start w:val="1"/>
      <w:numFmt w:val="bullet"/>
      <w:lvlText w:val="●"/>
      <w:lvlJc w:val="left"/>
      <w:pPr>
        <w:ind w:left="5040" w:hanging="360"/>
      </w:pPr>
    </w:lvl>
    <w:lvl w:ilvl="7" w:tplc="D3CAAB9C">
      <w:start w:val="1"/>
      <w:numFmt w:val="bullet"/>
      <w:lvlText w:val="●"/>
      <w:lvlJc w:val="left"/>
      <w:pPr>
        <w:ind w:left="5760" w:hanging="360"/>
      </w:pPr>
    </w:lvl>
    <w:lvl w:ilvl="8" w:tplc="F1366D68">
      <w:start w:val="1"/>
      <w:numFmt w:val="bullet"/>
      <w:lvlText w:val="●"/>
      <w:lvlJc w:val="left"/>
      <w:pPr>
        <w:ind w:left="6480" w:hanging="360"/>
      </w:pPr>
    </w:lvl>
  </w:abstractNum>
  <w:abstractNum w:abstractNumId="4" w15:restartNumberingAfterBreak="0">
    <w:nsid w:val="76F90061"/>
    <w:multiLevelType w:val="hybridMultilevel"/>
    <w:tmpl w:val="95462782"/>
    <w:lvl w:ilvl="0" w:tplc="FB06C2BE">
      <w:start w:val="1"/>
      <w:numFmt w:val="bullet"/>
      <w:lvlText w:val="→"/>
      <w:lvlJc w:val="left"/>
      <w:pPr>
        <w:ind w:left="560" w:hanging="280"/>
      </w:pPr>
    </w:lvl>
    <w:lvl w:ilvl="1" w:tplc="75105CFC">
      <w:numFmt w:val="decimal"/>
      <w:lvlText w:val=""/>
      <w:lvlJc w:val="left"/>
    </w:lvl>
    <w:lvl w:ilvl="2" w:tplc="9EF49152">
      <w:numFmt w:val="decimal"/>
      <w:lvlText w:val=""/>
      <w:lvlJc w:val="left"/>
    </w:lvl>
    <w:lvl w:ilvl="3" w:tplc="87007A68">
      <w:numFmt w:val="decimal"/>
      <w:lvlText w:val=""/>
      <w:lvlJc w:val="left"/>
    </w:lvl>
    <w:lvl w:ilvl="4" w:tplc="8CA2BE46">
      <w:numFmt w:val="decimal"/>
      <w:lvlText w:val=""/>
      <w:lvlJc w:val="left"/>
    </w:lvl>
    <w:lvl w:ilvl="5" w:tplc="0FC2D790">
      <w:numFmt w:val="decimal"/>
      <w:lvlText w:val=""/>
      <w:lvlJc w:val="left"/>
    </w:lvl>
    <w:lvl w:ilvl="6" w:tplc="52945586">
      <w:numFmt w:val="decimal"/>
      <w:lvlText w:val=""/>
      <w:lvlJc w:val="left"/>
    </w:lvl>
    <w:lvl w:ilvl="7" w:tplc="49964BDA">
      <w:numFmt w:val="decimal"/>
      <w:lvlText w:val=""/>
      <w:lvlJc w:val="left"/>
    </w:lvl>
    <w:lvl w:ilvl="8" w:tplc="4BA4311E">
      <w:numFmt w:val="decimal"/>
      <w:lvlText w:val=""/>
      <w:lvlJc w:val="left"/>
    </w:lvl>
  </w:abstractNum>
  <w:num w:numId="1" w16cid:durableId="1672639456">
    <w:abstractNumId w:val="3"/>
    <w:lvlOverride w:ilvl="0">
      <w:startOverride w:val="1"/>
    </w:lvlOverride>
  </w:num>
  <w:num w:numId="2" w16cid:durableId="650672162">
    <w:abstractNumId w:val="1"/>
    <w:lvlOverride w:ilvl="0">
      <w:startOverride w:val="1"/>
    </w:lvlOverride>
  </w:num>
  <w:num w:numId="3" w16cid:durableId="2015526569">
    <w:abstractNumId w:val="0"/>
    <w:lvlOverride w:ilvl="0">
      <w:startOverride w:val="1"/>
    </w:lvlOverride>
  </w:num>
  <w:num w:numId="4" w16cid:durableId="1363244403">
    <w:abstractNumId w:val="2"/>
    <w:lvlOverride w:ilvl="0">
      <w:startOverride w:val="1"/>
    </w:lvlOverride>
  </w:num>
  <w:num w:numId="5" w16cid:durableId="706105613">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6A28"/>
    <w:rsid w:val="00435D5C"/>
    <w:rsid w:val="00797F18"/>
    <w:rsid w:val="00F36A2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B983CAD"/>
  <w15:docId w15:val="{9C75100E-5EC8-354F-B840-660A0ABD6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IN"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788</Words>
  <Characters>4493</Characters>
  <Application>Microsoft Office Word</Application>
  <DocSecurity>0</DocSecurity>
  <Lines>37</Lines>
  <Paragraphs>10</Paragraphs>
  <ScaleCrop>false</ScaleCrop>
  <Company/>
  <LinksUpToDate>false</LinksUpToDate>
  <CharactersWithSpaces>5271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Adv. Astha Singh</cp:lastModifiedBy>
  <cp:revision>2</cp:revision>
  <dcterms:created xsi:type="dcterms:W3CDTF">2026-02-18T19:57:00Z</dcterms:created>
  <dcterms:modified xsi:type="dcterms:W3CDTF">2026-02-18T20:00:00Z</dcterms:modified>
</cp:coreProperties>
</file>