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drawing>
          <wp:inline xmlns:a="http://schemas.openxmlformats.org/drawingml/2006/main" xmlns:pic="http://schemas.openxmlformats.org/drawingml/2006/picture">
            <wp:extent cx="1828800" cy="1828800"/>
            <wp:docPr id="1" name="Picture 1"/>
            <wp:cNvGraphicFramePr>
              <a:graphicFrameLocks noChangeAspect="1"/>
            </wp:cNvGraphicFramePr>
            <a:graphic>
              <a:graphicData uri="http://schemas.openxmlformats.org/drawingml/2006/picture">
                <pic:pic>
                  <pic:nvPicPr>
                    <pic:cNvPr id="0" name="Untitled design.png"/>
                    <pic:cNvPicPr/>
                  </pic:nvPicPr>
                  <pic:blipFill>
                    <a:blip r:embed="rId9"/>
                    <a:stretch>
                      <a:fillRect/>
                    </a:stretch>
                  </pic:blipFill>
                  <pic:spPr>
                    <a:xfrm>
                      <a:off x="0" y="0"/>
                      <a:ext cx="1828800" cy="1828800"/>
                    </a:xfrm>
                    <a:prstGeom prst="rect"/>
                  </pic:spPr>
                </pic:pic>
              </a:graphicData>
            </a:graphic>
          </wp:inline>
        </w:drawing>
      </w:r>
    </w:p>
    <w:p>
      <w:pPr>
        <w:spacing w:before="0" w:after="120"/>
        <w:jc w:val="center"/>
      </w:pPr>
      <w:r>
        <w:rPr>
          <w:rFonts w:ascii="Garamond" w:hAnsi="Garamond"/>
          <w:i/>
          <w:color w:val="C89720"/>
          <w:sz w:val="17"/>
        </w:rPr>
        <w:t>Presented by Guru Legal</w:t>
      </w:r>
    </w:p>
    <w:p>
      <w:pPr>
        <w:spacing w:before="0" w:after="60"/>
        <w:jc w:val="center"/>
      </w:pPr>
      <w:r>
        <w:rPr>
          <w:rFonts w:ascii="Garamond" w:hAnsi="Garamond"/>
          <w:b/>
          <w:color w:val="1A1A1A"/>
          <w:sz w:val="32"/>
        </w:rPr>
        <w:t>Legal Internship Interview Preparation Template</w:t>
      </w:r>
    </w:p>
    <w:p>
      <w:pPr>
        <w:spacing w:before="0" w:after="80"/>
        <w:jc w:val="center"/>
      </w:pPr>
      <w:r>
        <w:rPr>
          <w:rFonts w:ascii="Garamond" w:hAnsi="Garamond"/>
          <w:i/>
          <w:color w:val="888888"/>
          <w:sz w:val="20"/>
        </w:rPr>
        <w:t>Law Firm &amp; Litigation Chamber Editions | Sample Answers | Mistakes to Avoid</w:t>
      </w:r>
    </w:p>
    <w:p>
      <w:pPr>
        <w:spacing w:before="0" w:after="120"/>
        <w:pBdr>
          <w:bottom w:val="single" w:sz="6" w:space="1" w:color="1A1A1A"/>
        </w:pBdr>
      </w:pPr>
    </w:p>
    <w:p>
      <w:pPr>
        <w:spacing w:before="120" w:after="200"/>
      </w:pPr>
      <w:r>
        <w:rPr>
          <w:rFonts w:ascii="Garamond" w:hAnsi="Garamond"/>
          <w:b/>
          <w:color w:val="C89720"/>
          <w:sz w:val="20"/>
        </w:rPr>
        <w:t xml:space="preserve">Instructions:  </w:t>
      </w:r>
      <w:r>
        <w:rPr>
          <w:rFonts w:ascii="Garamond" w:hAnsi="Garamond"/>
          <w:color w:val="444444"/>
          <w:sz w:val="20"/>
        </w:rPr>
        <w:t>Customise each sample answer with your own details before memorising. Do not read answers verbatim — use them as a structure. Tags like [LAW FIRM] or [LITIGATION] indicate context-specific answers. Practice answering out loud.</w:t>
      </w:r>
    </w:p>
    <w:p>
      <w:pPr>
        <w:spacing w:before="280" w:after="40"/>
      </w:pPr>
      <w:r>
        <w:rPr>
          <w:rFonts w:ascii="Garamond" w:hAnsi="Garamond"/>
          <w:b/>
          <w:color w:val="C89720"/>
          <w:sz w:val="24"/>
        </w:rPr>
        <w:t>YOUR PERSONAL PITCH (60-SECOND INTRODUCTION)</w:t>
      </w:r>
    </w:p>
    <w:p>
      <w:pPr>
        <w:spacing w:before="0" w:after="120"/>
        <w:pBdr>
          <w:bottom w:val="single" w:sz="6" w:space="1" w:color="C89720"/>
        </w:pBdr>
      </w:pPr>
    </w:p>
    <w:p>
      <w:pPr>
        <w:spacing w:before="80" w:after="120"/>
        <w:jc w:val="both"/>
      </w:pPr>
      <w:r>
        <w:rPr>
          <w:rFonts w:ascii="Garamond" w:hAnsi="Garamond"/>
          <w:i/>
          <w:color w:val="444444"/>
          <w:sz w:val="22"/>
        </w:rPr>
        <w:t>"I am [Name], a [Year]-year student at [Law School], where I specialise in [Area of Focus, e.g., corporate law/litigation]. I have interned at [Firm/Chamber 1] where I worked on [specific task], and at [Firm/Chamber 2] where I focused on [specific task]. In my moot court work, I have argued before panels on [topic] and co-authored a memorial that advanced to the [stage] round. Outside academics, I serve as [Position] at [Society/Journal]. I am applying here because [specific, genuine reason tied to the firm's practice/reputation] — and I believe the experience I have built so far makes me ready to contribute from day one."</w:t>
      </w:r>
    </w:p>
    <w:p>
      <w:pPr>
        <w:spacing w:before="80" w:after="80"/>
      </w:pPr>
      <w:r>
        <w:rPr>
          <w:rFonts w:ascii="Garamond" w:hAnsi="Garamond"/>
          <w:b/>
          <w:color w:val="C89720"/>
          <w:sz w:val="20"/>
        </w:rPr>
        <w:t xml:space="preserve">Tip:  </w:t>
      </w:r>
      <w:r>
        <w:rPr>
          <w:rFonts w:ascii="Garamond" w:hAnsi="Garamond"/>
          <w:i/>
          <w:color w:val="444444"/>
          <w:sz w:val="20"/>
        </w:rPr>
        <w:t>Keep your pitch under 75 seconds. Practice until it sounds natural, not rehearsed. Tailor the final sentence to every firm you interview with.</w:t>
      </w:r>
    </w:p>
    <w:p>
      <w:pPr>
        <w:spacing w:before="280" w:after="40"/>
      </w:pPr>
      <w:r>
        <w:rPr>
          <w:rFonts w:ascii="Garamond" w:hAnsi="Garamond"/>
          <w:b/>
          <w:color w:val="C89720"/>
          <w:sz w:val="24"/>
        </w:rPr>
        <w:t>HR / PERSONALITY QUESTIONS</w:t>
      </w:r>
    </w:p>
    <w:p>
      <w:pPr>
        <w:spacing w:before="0" w:after="120"/>
        <w:pBdr>
          <w:bottom w:val="single" w:sz="6" w:space="1" w:color="C89720"/>
        </w:pBdr>
      </w:pPr>
    </w:p>
    <w:p>
      <w:pPr>
        <w:spacing w:before="160" w:after="40"/>
      </w:pPr>
      <w:r>
        <w:rPr>
          <w:rFonts w:ascii="Garamond" w:hAnsi="Garamond"/>
          <w:b/>
          <w:color w:val="1A1A1A"/>
          <w:sz w:val="22"/>
        </w:rPr>
        <w:t>Q: Why do you want to intern with us specifically?</w:t>
      </w:r>
    </w:p>
    <w:p>
      <w:pPr>
        <w:spacing w:before="40" w:after="120"/>
        <w:ind w:left="216"/>
        <w:jc w:val="both"/>
      </w:pPr>
      <w:r>
        <w:rPr>
          <w:rFonts w:ascii="Garamond" w:hAnsi="Garamond"/>
          <w:color w:val="444444"/>
          <w:sz w:val="21"/>
        </w:rPr>
        <w:t>A: "I have been following your work on [specific deal/case/matter]. The firm's approach to [specific area, e.g., cross-border transactions/constitutional litigation] reflects a rigour I want to be trained in. I am not looking for a passive experience — I want to work with a team where I am expected to contribute, and your [practice group/chamber] reputation suggests that's exactly the culture here."</w:t>
      </w:r>
    </w:p>
    <w:p>
      <w:pPr>
        <w:spacing w:before="160" w:after="40"/>
      </w:pPr>
      <w:r>
        <w:rPr>
          <w:rFonts w:ascii="Garamond" w:hAnsi="Garamond"/>
          <w:b/>
          <w:color w:val="1A1A1A"/>
          <w:sz w:val="22"/>
        </w:rPr>
        <w:t>Q: Tell me about a time you faced a difficult situation and how you handled it.</w:t>
      </w:r>
    </w:p>
    <w:p>
      <w:pPr>
        <w:spacing w:before="40" w:after="120"/>
        <w:ind w:left="216"/>
        <w:jc w:val="both"/>
      </w:pPr>
      <w:r>
        <w:rPr>
          <w:rFonts w:ascii="Garamond" w:hAnsi="Garamond"/>
          <w:color w:val="444444"/>
          <w:sz w:val="21"/>
        </w:rPr>
        <w:t>A: "During a moot competition, our memorial was challenged by the bench on an issue we had not fully anticipated — the applicability of [legal doctrine] in our fact pattern. Rather than deflect, I acknowledged the gap and pivoted to the closest analogous precedent, [Case Name]. The bench engaged with it. We didn't win the moot, but that exchange clarified my research blind spots in a way no feedback form could."</w:t>
      </w:r>
    </w:p>
    <w:p>
      <w:pPr>
        <w:spacing w:before="160" w:after="40"/>
      </w:pPr>
      <w:r>
        <w:rPr>
          <w:rFonts w:ascii="Garamond" w:hAnsi="Garamond"/>
          <w:b/>
          <w:color w:val="1A1A1A"/>
          <w:sz w:val="22"/>
        </w:rPr>
        <w:t>Q: Where do you see yourself in five years?</w:t>
      </w:r>
    </w:p>
    <w:p>
      <w:pPr>
        <w:spacing w:before="40" w:after="120"/>
        <w:ind w:left="216"/>
        <w:jc w:val="both"/>
      </w:pPr>
      <w:r>
        <w:rPr>
          <w:rFonts w:ascii="Garamond" w:hAnsi="Garamond"/>
          <w:color w:val="444444"/>
          <w:sz w:val="21"/>
        </w:rPr>
        <w:t>A: "I intend to build a specialisation in [specific area]. In the near term, I want to develop technical depth in [skill/area] at a firm like this one, understand how transactions/disputes are structured at the highest level, and eventually build toward [senior associate work/building my own practice/policy advisory]. This internship is a deliberate step in that direction — not a checkbox."</w:t>
      </w:r>
    </w:p>
    <w:p>
      <w:pPr>
        <w:spacing w:before="160" w:after="40"/>
      </w:pPr>
      <w:r>
        <w:rPr>
          <w:rFonts w:ascii="Garamond" w:hAnsi="Garamond"/>
          <w:b/>
          <w:color w:val="1A1A1A"/>
          <w:sz w:val="22"/>
        </w:rPr>
        <w:t>Q: What are your weaknesses?</w:t>
      </w:r>
    </w:p>
    <w:p>
      <w:pPr>
        <w:spacing w:before="40" w:after="120"/>
        <w:ind w:left="216"/>
        <w:jc w:val="both"/>
      </w:pPr>
      <w:r>
        <w:rPr>
          <w:rFonts w:ascii="Garamond" w:hAnsi="Garamond"/>
          <w:color w:val="444444"/>
          <w:sz w:val="21"/>
        </w:rPr>
        <w:t>A: "I tend to over-research before drafting — I want to have considered every angle before I begin writing. I've been working on setting tighter time constraints for the research phase and beginning a first draft earlier, even if imperfect. It's improved my turnaround time without sacrificing quality."</w:t>
      </w:r>
    </w:p>
    <w:p>
      <w:pPr>
        <w:spacing w:before="280" w:after="40"/>
      </w:pPr>
      <w:r>
        <w:rPr>
          <w:rFonts w:ascii="Garamond" w:hAnsi="Garamond"/>
          <w:b/>
          <w:color w:val="C89720"/>
          <w:sz w:val="24"/>
        </w:rPr>
        <w:t>TECHNICAL / LEGAL QUESTIONS</w:t>
      </w:r>
    </w:p>
    <w:p>
      <w:pPr>
        <w:spacing w:before="0" w:after="120"/>
        <w:pBdr>
          <w:bottom w:val="single" w:sz="6" w:space="1" w:color="C89720"/>
        </w:pBdr>
      </w:pPr>
    </w:p>
    <w:p>
      <w:pPr>
        <w:spacing w:before="160" w:after="40"/>
      </w:pPr>
      <w:r>
        <w:rPr>
          <w:rFonts w:ascii="Garamond" w:hAnsi="Garamond"/>
          <w:b/>
          <w:color w:val="6688AA"/>
          <w:sz w:val="18"/>
        </w:rPr>
        <w:t xml:space="preserve">[LITIGATION]  </w:t>
      </w:r>
      <w:r>
        <w:rPr>
          <w:rFonts w:ascii="Garamond" w:hAnsi="Garamond"/>
          <w:b/>
          <w:color w:val="1A1A1A"/>
          <w:sz w:val="22"/>
        </w:rPr>
        <w:t>Q: What is the difference between a plaint and a petition?</w:t>
      </w:r>
    </w:p>
    <w:p>
      <w:pPr>
        <w:spacing w:before="40" w:after="120"/>
        <w:ind w:left="216"/>
        <w:jc w:val="both"/>
      </w:pPr>
      <w:r>
        <w:rPr>
          <w:rFonts w:ascii="Garamond" w:hAnsi="Garamond"/>
          <w:color w:val="444444"/>
          <w:sz w:val="21"/>
        </w:rPr>
        <w:t>A: "A plaint initiates a civil suit under Order VII of the Code of Civil Procedure, 1908, and is filed before a civil court against a specific defendant. A petition is a broader term covering a variety of applications — constitutional writ petitions under Articles 32 or 226, company petitions before NCLT, or statutory petitions under specific legislation. The key difference lies in the nature of the relief sought and the forum."</w:t>
      </w:r>
    </w:p>
    <w:p>
      <w:pPr>
        <w:spacing w:before="160" w:after="40"/>
      </w:pPr>
      <w:r>
        <w:rPr>
          <w:rFonts w:ascii="Garamond" w:hAnsi="Garamond"/>
          <w:b/>
          <w:color w:val="6688AA"/>
          <w:sz w:val="18"/>
        </w:rPr>
        <w:t xml:space="preserve">[LAW FIRM]  </w:t>
      </w:r>
      <w:r>
        <w:rPr>
          <w:rFonts w:ascii="Garamond" w:hAnsi="Garamond"/>
          <w:b/>
          <w:color w:val="1A1A1A"/>
          <w:sz w:val="22"/>
        </w:rPr>
        <w:t>Q: Explain the concept of limited liability in a company.</w:t>
      </w:r>
    </w:p>
    <w:p>
      <w:pPr>
        <w:spacing w:before="40" w:after="120"/>
        <w:ind w:left="216"/>
        <w:jc w:val="both"/>
      </w:pPr>
      <w:r>
        <w:rPr>
          <w:rFonts w:ascii="Garamond" w:hAnsi="Garamond"/>
          <w:color w:val="444444"/>
          <w:sz w:val="21"/>
        </w:rPr>
        <w:t>A: "Limited liability means that the financial obligation of shareholders in a company is capped at the amount unpaid on their shares. Under Section 3 of the Companies Act, 2013, a company can be limited by shares or by guarantee. In a company limited by shares, shareholders are not personally liable for the company's debts beyond the face value of their shares. This is foundational to corporate investment — it separates personal assets from corporate risk."</w:t>
      </w:r>
    </w:p>
    <w:p>
      <w:pPr>
        <w:spacing w:before="160" w:after="40"/>
      </w:pPr>
      <w:r>
        <w:rPr>
          <w:rFonts w:ascii="Garamond" w:hAnsi="Garamond"/>
          <w:b/>
          <w:color w:val="6688AA"/>
          <w:sz w:val="18"/>
        </w:rPr>
        <w:t xml:space="preserve">[LITIGATION]  </w:t>
      </w:r>
      <w:r>
        <w:rPr>
          <w:rFonts w:ascii="Garamond" w:hAnsi="Garamond"/>
          <w:b/>
          <w:color w:val="1A1A1A"/>
          <w:sz w:val="22"/>
        </w:rPr>
        <w:t>Q: What is the standard for granting an ad-interim injunction?</w:t>
      </w:r>
    </w:p>
    <w:p>
      <w:pPr>
        <w:spacing w:before="40" w:after="120"/>
        <w:ind w:left="216"/>
        <w:jc w:val="both"/>
      </w:pPr>
      <w:r>
        <w:rPr>
          <w:rFonts w:ascii="Garamond" w:hAnsi="Garamond"/>
          <w:color w:val="444444"/>
          <w:sz w:val="21"/>
        </w:rPr>
        <w:t>A: "The triple test from American Cyanamid, adopted in India through cases like Gujarat Bottling v. Coca-Cola, requires the applicant to establish: (1) a prima facie case; (2) that the balance of convenience lies in their favour; and (3) that irreparable harm will result if the injunction is not granted. Courts also consider the conduct of the parties and the public interest, particularly in IP and environmental matters."</w:t>
      </w:r>
    </w:p>
    <w:p>
      <w:pPr>
        <w:spacing w:before="160" w:after="40"/>
      </w:pPr>
      <w:r>
        <w:rPr>
          <w:rFonts w:ascii="Garamond" w:hAnsi="Garamond"/>
          <w:b/>
          <w:color w:val="6688AA"/>
          <w:sz w:val="18"/>
        </w:rPr>
        <w:t xml:space="preserve">[LAW FIRM]  </w:t>
      </w:r>
      <w:r>
        <w:rPr>
          <w:rFonts w:ascii="Garamond" w:hAnsi="Garamond"/>
          <w:b/>
          <w:color w:val="1A1A1A"/>
          <w:sz w:val="22"/>
        </w:rPr>
        <w:t>Q: What is a due diligence exercise and what does it cover?</w:t>
      </w:r>
    </w:p>
    <w:p>
      <w:pPr>
        <w:spacing w:before="40" w:after="120"/>
        <w:ind w:left="216"/>
        <w:jc w:val="both"/>
      </w:pPr>
      <w:r>
        <w:rPr>
          <w:rFonts w:ascii="Garamond" w:hAnsi="Garamond"/>
          <w:color w:val="444444"/>
          <w:sz w:val="21"/>
        </w:rPr>
        <w:t>A: "Due diligence is a pre-transactional investigation of the target entity conducted by the buyer's counsel and advisors to identify legal, financial, and regulatory risks. Legal due diligence typically covers: title documents and property records, corporate structure and shareholding, material contracts and their assignability, pending and threatened litigation, regulatory approvals and compliance status, IP ownership, and employee matters. The findings are summarised in a DD report that informs the transaction structure and warranties."</w:t>
      </w:r>
    </w:p>
    <w:p>
      <w:pPr>
        <w:spacing w:before="160" w:after="40"/>
      </w:pPr>
      <w:r>
        <w:rPr>
          <w:rFonts w:ascii="Garamond" w:hAnsi="Garamond"/>
          <w:b/>
          <w:color w:val="1A1A1A"/>
          <w:sz w:val="22"/>
        </w:rPr>
        <w:t>Q: What is the doctrine of res judicata?</w:t>
      </w:r>
    </w:p>
    <w:p>
      <w:pPr>
        <w:spacing w:before="40" w:after="120"/>
        <w:ind w:left="216"/>
        <w:jc w:val="both"/>
      </w:pPr>
      <w:r>
        <w:rPr>
          <w:rFonts w:ascii="Garamond" w:hAnsi="Garamond"/>
          <w:color w:val="444444"/>
          <w:sz w:val="21"/>
        </w:rPr>
        <w:t>A: "Res judicata, embodied in Section 11 of the CPC, bars a court from trying a suit or issue that has been directly and substantially decided in a former suit between the same parties or parties under whom they claim, litigating under the same title, in a court competent to try the subsequent suit. The doctrine promotes finality of judgments and prevents repeated litigation of the same matter. The Supreme Court has extended it to quasi-judicial proceedings in cases like Grindlays Bank v. Central Government Industrial Tribunal."</w:t>
      </w:r>
    </w:p>
    <w:p>
      <w:pPr>
        <w:spacing w:before="280" w:after="40"/>
      </w:pPr>
      <w:r>
        <w:rPr>
          <w:rFonts w:ascii="Garamond" w:hAnsi="Garamond"/>
          <w:b/>
          <w:color w:val="C89720"/>
          <w:sz w:val="24"/>
        </w:rPr>
        <w:t>QUESTIONS TO ASK YOUR INTERVIEWER</w:t>
      </w:r>
    </w:p>
    <w:p>
      <w:pPr>
        <w:spacing w:before="0" w:after="120"/>
        <w:pBdr>
          <w:bottom w:val="single" w:sz="6" w:space="1" w:color="C89720"/>
        </w:pBdr>
      </w:pPr>
    </w:p>
    <w:p>
      <w:pPr>
        <w:spacing w:before="40" w:after="60"/>
        <w:ind w:left="216"/>
      </w:pPr>
      <w:r>
        <w:rPr>
          <w:rFonts w:ascii="Garamond" w:hAnsi="Garamond"/>
          <w:b/>
          <w:color w:val="C89720"/>
          <w:sz w:val="22"/>
        </w:rPr>
        <w:t xml:space="preserve">»  </w:t>
      </w:r>
      <w:r>
        <w:rPr>
          <w:rFonts w:ascii="Garamond" w:hAnsi="Garamond"/>
          <w:color w:val="444444"/>
          <w:sz w:val="22"/>
        </w:rPr>
        <w:t>What does a typical day look like for an intern in this practice group?</w:t>
      </w:r>
    </w:p>
    <w:p>
      <w:pPr>
        <w:spacing w:before="40" w:after="60"/>
        <w:ind w:left="216"/>
      </w:pPr>
      <w:r>
        <w:rPr>
          <w:rFonts w:ascii="Garamond" w:hAnsi="Garamond"/>
          <w:b/>
          <w:color w:val="C89720"/>
          <w:sz w:val="22"/>
        </w:rPr>
        <w:t xml:space="preserve">»  </w:t>
      </w:r>
      <w:r>
        <w:rPr>
          <w:rFonts w:ascii="Garamond" w:hAnsi="Garamond"/>
          <w:color w:val="444444"/>
          <w:sz w:val="22"/>
        </w:rPr>
        <w:t>What is the most complex matter your team has handled in the last 12 months, and how was it structured?</w:t>
      </w:r>
    </w:p>
    <w:p>
      <w:pPr>
        <w:spacing w:before="40" w:after="60"/>
        <w:ind w:left="216"/>
      </w:pPr>
      <w:r>
        <w:rPr>
          <w:rFonts w:ascii="Garamond" w:hAnsi="Garamond"/>
          <w:b/>
          <w:color w:val="C89720"/>
          <w:sz w:val="22"/>
        </w:rPr>
        <w:t xml:space="preserve">»  </w:t>
      </w:r>
      <w:r>
        <w:rPr>
          <w:rFonts w:ascii="Garamond" w:hAnsi="Garamond"/>
          <w:color w:val="444444"/>
          <w:sz w:val="22"/>
        </w:rPr>
        <w:t>How do you evaluate intern contributions — what does good work look like here?</w:t>
      </w:r>
    </w:p>
    <w:p>
      <w:pPr>
        <w:spacing w:before="40" w:after="60"/>
        <w:ind w:left="216"/>
      </w:pPr>
      <w:r>
        <w:rPr>
          <w:rFonts w:ascii="Garamond" w:hAnsi="Garamond"/>
          <w:b/>
          <w:color w:val="C89720"/>
          <w:sz w:val="22"/>
        </w:rPr>
        <w:t xml:space="preserve">»  </w:t>
      </w:r>
      <w:r>
        <w:rPr>
          <w:rFonts w:ascii="Garamond" w:hAnsi="Garamond"/>
          <w:color w:val="444444"/>
          <w:sz w:val="22"/>
        </w:rPr>
        <w:t>Are interns expected to attend client meetings or court hearings, or primarily handle research?</w:t>
      </w:r>
    </w:p>
    <w:p>
      <w:pPr>
        <w:spacing w:before="40" w:after="60"/>
        <w:ind w:left="216"/>
      </w:pPr>
      <w:r>
        <w:rPr>
          <w:rFonts w:ascii="Garamond" w:hAnsi="Garamond"/>
          <w:b/>
          <w:color w:val="C89720"/>
          <w:sz w:val="22"/>
        </w:rPr>
        <w:t xml:space="preserve">»  </w:t>
      </w:r>
      <w:r>
        <w:rPr>
          <w:rFonts w:ascii="Garamond" w:hAnsi="Garamond"/>
          <w:color w:val="444444"/>
          <w:sz w:val="22"/>
        </w:rPr>
        <w:t>What has been the career path for past interns who have joined full-time?</w:t>
      </w:r>
    </w:p>
    <w:p>
      <w:pPr>
        <w:spacing w:before="40" w:after="60"/>
        <w:ind w:left="216"/>
      </w:pPr>
      <w:r>
        <w:rPr>
          <w:rFonts w:ascii="Garamond" w:hAnsi="Garamond"/>
          <w:b/>
          <w:color w:val="C89720"/>
          <w:sz w:val="22"/>
        </w:rPr>
        <w:t xml:space="preserve">»  </w:t>
      </w:r>
      <w:r>
        <w:rPr>
          <w:rFonts w:ascii="Garamond" w:hAnsi="Garamond"/>
          <w:color w:val="444444"/>
          <w:sz w:val="22"/>
        </w:rPr>
        <w:t>Is there a specific area where the team is currently most active, where I should focus my reading?</w:t>
      </w:r>
    </w:p>
    <w:p>
      <w:pPr>
        <w:spacing w:before="80" w:after="80"/>
      </w:pPr>
      <w:r>
        <w:rPr>
          <w:rFonts w:ascii="Garamond" w:hAnsi="Garamond"/>
          <w:b/>
          <w:color w:val="C89720"/>
          <w:sz w:val="20"/>
        </w:rPr>
        <w:t xml:space="preserve">Tip:  </w:t>
      </w:r>
      <w:r>
        <w:rPr>
          <w:rFonts w:ascii="Garamond" w:hAnsi="Garamond"/>
          <w:i/>
          <w:color w:val="444444"/>
          <w:sz w:val="20"/>
        </w:rPr>
        <w:t>Always prepare at least 3 questions. Never ask about stipend, holidays, or timing in the first interview. Show intellectual curiosity about the work.</w:t>
      </w:r>
    </w:p>
    <w:p>
      <w:pPr>
        <w:spacing w:before="280" w:after="40"/>
      </w:pPr>
      <w:r>
        <w:rPr>
          <w:rFonts w:ascii="Garamond" w:hAnsi="Garamond"/>
          <w:b/>
          <w:color w:val="C89720"/>
          <w:sz w:val="24"/>
        </w:rPr>
        <w:t>MISTAKES TO AVOID</w:t>
      </w:r>
    </w:p>
    <w:p>
      <w:pPr>
        <w:spacing w:before="0" w:after="120"/>
        <w:pBdr>
          <w:bottom w:val="single" w:sz="6" w:space="1" w:color="C89720"/>
        </w:pBdr>
      </w:pPr>
    </w:p>
    <w:p>
      <w:pPr>
        <w:spacing w:before="40" w:after="60"/>
        <w:ind w:left="216"/>
      </w:pPr>
      <w:r>
        <w:rPr>
          <w:rFonts w:ascii="Garamond" w:hAnsi="Garamond"/>
          <w:b/>
          <w:color w:val="BB3333"/>
          <w:sz w:val="22"/>
        </w:rPr>
        <w:t xml:space="preserve">X  </w:t>
      </w:r>
      <w:r>
        <w:rPr>
          <w:rFonts w:ascii="Garamond" w:hAnsi="Garamond"/>
          <w:color w:val="444444"/>
          <w:sz w:val="21"/>
        </w:rPr>
        <w:t>Not knowing basic facts about the firm — its practice areas, recent deals/cases, or tier ranking.</w:t>
      </w:r>
    </w:p>
    <w:p>
      <w:pPr>
        <w:spacing w:before="40" w:after="60"/>
        <w:ind w:left="216"/>
      </w:pPr>
      <w:r>
        <w:rPr>
          <w:rFonts w:ascii="Garamond" w:hAnsi="Garamond"/>
          <w:b/>
          <w:color w:val="BB3333"/>
          <w:sz w:val="22"/>
        </w:rPr>
        <w:t xml:space="preserve">X  </w:t>
      </w:r>
      <w:r>
        <w:rPr>
          <w:rFonts w:ascii="Garamond" w:hAnsi="Garamond"/>
          <w:color w:val="444444"/>
          <w:sz w:val="21"/>
        </w:rPr>
        <w:t>Giving a generic "I've always been passionate about law" answer with no specific evidence.</w:t>
      </w:r>
    </w:p>
    <w:p>
      <w:pPr>
        <w:spacing w:before="40" w:after="60"/>
        <w:ind w:left="216"/>
      </w:pPr>
      <w:r>
        <w:rPr>
          <w:rFonts w:ascii="Garamond" w:hAnsi="Garamond"/>
          <w:b/>
          <w:color w:val="BB3333"/>
          <w:sz w:val="22"/>
        </w:rPr>
        <w:t xml:space="preserve">X  </w:t>
      </w:r>
      <w:r>
        <w:rPr>
          <w:rFonts w:ascii="Garamond" w:hAnsi="Garamond"/>
          <w:color w:val="444444"/>
          <w:sz w:val="21"/>
        </w:rPr>
        <w:t>Over-explaining a weakness or becoming defensive when a limitation is identified.</w:t>
      </w:r>
    </w:p>
    <w:p>
      <w:pPr>
        <w:spacing w:before="40" w:after="60"/>
        <w:ind w:left="216"/>
      </w:pPr>
      <w:r>
        <w:rPr>
          <w:rFonts w:ascii="Garamond" w:hAnsi="Garamond"/>
          <w:b/>
          <w:color w:val="BB3333"/>
          <w:sz w:val="22"/>
        </w:rPr>
        <w:t xml:space="preserve">X  </w:t>
      </w:r>
      <w:r>
        <w:rPr>
          <w:rFonts w:ascii="Garamond" w:hAnsi="Garamond"/>
          <w:color w:val="444444"/>
          <w:sz w:val="21"/>
        </w:rPr>
        <w:t>Failing to make eye contact, speaking too fast, or using filler words like "basically" and "like".</w:t>
      </w:r>
    </w:p>
    <w:p>
      <w:pPr>
        <w:spacing w:before="40" w:after="60"/>
        <w:ind w:left="216"/>
      </w:pPr>
      <w:r>
        <w:rPr>
          <w:rFonts w:ascii="Garamond" w:hAnsi="Garamond"/>
          <w:b/>
          <w:color w:val="BB3333"/>
          <w:sz w:val="22"/>
        </w:rPr>
        <w:t xml:space="preserve">X  </w:t>
      </w:r>
      <w:r>
        <w:rPr>
          <w:rFonts w:ascii="Garamond" w:hAnsi="Garamond"/>
          <w:color w:val="444444"/>
          <w:sz w:val="21"/>
        </w:rPr>
        <w:t>Asking questions that can be answered by reading the firm's website.</w:t>
      </w:r>
    </w:p>
    <w:p>
      <w:pPr>
        <w:spacing w:before="40" w:after="60"/>
        <w:ind w:left="216"/>
      </w:pPr>
      <w:r>
        <w:rPr>
          <w:rFonts w:ascii="Garamond" w:hAnsi="Garamond"/>
          <w:b/>
          <w:color w:val="BB3333"/>
          <w:sz w:val="22"/>
        </w:rPr>
        <w:t xml:space="preserve">X  </w:t>
      </w:r>
      <w:r>
        <w:rPr>
          <w:rFonts w:ascii="Garamond" w:hAnsi="Garamond"/>
          <w:color w:val="444444"/>
          <w:sz w:val="21"/>
        </w:rPr>
        <w:t>Arriving without a printed CV or being unfamiliar with something on your own CV.</w:t>
      </w:r>
    </w:p>
    <w:p>
      <w:pPr>
        <w:spacing w:before="40" w:after="60"/>
        <w:ind w:left="216"/>
      </w:pPr>
      <w:r>
        <w:rPr>
          <w:rFonts w:ascii="Garamond" w:hAnsi="Garamond"/>
          <w:b/>
          <w:color w:val="BB3333"/>
          <w:sz w:val="22"/>
        </w:rPr>
        <w:t xml:space="preserve">X  </w:t>
      </w:r>
      <w:r>
        <w:rPr>
          <w:rFonts w:ascii="Garamond" w:hAnsi="Garamond"/>
          <w:color w:val="444444"/>
          <w:sz w:val="21"/>
        </w:rPr>
        <w:t>Saying you are "interested in everything" when asked about your practice area preference.</w:t>
      </w:r>
    </w:p>
    <w:p>
      <w:pPr>
        <w:spacing w:before="40" w:after="60"/>
        <w:ind w:left="216"/>
      </w:pPr>
      <w:r>
        <w:rPr>
          <w:rFonts w:ascii="Garamond" w:hAnsi="Garamond"/>
          <w:b/>
          <w:color w:val="BB3333"/>
          <w:sz w:val="22"/>
        </w:rPr>
        <w:t xml:space="preserve">X  </w:t>
      </w:r>
      <w:r>
        <w:rPr>
          <w:rFonts w:ascii="Garamond" w:hAnsi="Garamond"/>
          <w:color w:val="444444"/>
          <w:sz w:val="21"/>
        </w:rPr>
        <w:t>Forgetting to send a brief thank-you note within 24 hours of the interview.</w:t>
      </w:r>
    </w:p>
    <w:sectPr w:rsidR="00FC693F" w:rsidRPr="0006063C" w:rsidSect="00034616">
      <w:pgSz w:w="12240" w:h="15840"/>
      <w:pgMar w:top="1224" w:right="1440" w:bottom="12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