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jc w:val="center"/>
      </w:pPr>
      <w:r>
        <w:drawing>
          <wp:inline xmlns:a="http://schemas.openxmlformats.org/drawingml/2006/main" xmlns:pic="http://schemas.openxmlformats.org/drawingml/2006/picture">
            <wp:extent cx="1828800" cy="1828800"/>
            <wp:docPr id="1" name="Picture 1"/>
            <wp:cNvGraphicFramePr>
              <a:graphicFrameLocks noChangeAspect="1"/>
            </wp:cNvGraphicFramePr>
            <a:graphic>
              <a:graphicData uri="http://schemas.openxmlformats.org/drawingml/2006/picture">
                <pic:pic>
                  <pic:nvPicPr>
                    <pic:cNvPr id="0" name="Untitled design.png"/>
                    <pic:cNvPicPr/>
                  </pic:nvPicPr>
                  <pic:blipFill>
                    <a:blip r:embed="rId9"/>
                    <a:stretch>
                      <a:fillRect/>
                    </a:stretch>
                  </pic:blipFill>
                  <pic:spPr>
                    <a:xfrm>
                      <a:off x="0" y="0"/>
                      <a:ext cx="1828800" cy="1828800"/>
                    </a:xfrm>
                    <a:prstGeom prst="rect"/>
                  </pic:spPr>
                </pic:pic>
              </a:graphicData>
            </a:graphic>
          </wp:inline>
        </w:drawing>
      </w:r>
    </w:p>
    <w:p>
      <w:pPr>
        <w:spacing w:before="0" w:after="120"/>
        <w:jc w:val="center"/>
      </w:pPr>
      <w:r>
        <w:rPr>
          <w:rFonts w:ascii="Garamond" w:hAnsi="Garamond"/>
          <w:i/>
          <w:color w:val="C89720"/>
          <w:sz w:val="17"/>
        </w:rPr>
        <w:t>Presented by Guru Legal</w:t>
      </w:r>
    </w:p>
    <w:p>
      <w:pPr>
        <w:spacing w:before="0" w:after="60"/>
        <w:jc w:val="center"/>
      </w:pPr>
      <w:r>
        <w:rPr>
          <w:rFonts w:ascii="Garamond" w:hAnsi="Garamond"/>
          <w:b/>
          <w:color w:val="1A1A1A"/>
          <w:sz w:val="32"/>
        </w:rPr>
        <w:t>Legal Writing Sample / Research Note Template</w:t>
      </w:r>
    </w:p>
    <w:p>
      <w:pPr>
        <w:spacing w:before="0" w:after="80"/>
        <w:jc w:val="center"/>
      </w:pPr>
      <w:r>
        <w:rPr>
          <w:rFonts w:ascii="Garamond" w:hAnsi="Garamond"/>
          <w:i/>
          <w:color w:val="888888"/>
          <w:sz w:val="20"/>
        </w:rPr>
        <w:t>For Internship Applications | Academic Submissions | Law Review Submissions</w:t>
      </w:r>
    </w:p>
    <w:p>
      <w:pPr>
        <w:spacing w:before="0" w:after="120"/>
        <w:pBdr>
          <w:bottom w:val="single" w:sz="6" w:space="1" w:color="1A1A1A"/>
        </w:pBdr>
      </w:pPr>
    </w:p>
    <w:p>
      <w:pPr>
        <w:spacing w:before="120" w:after="200"/>
      </w:pPr>
      <w:r>
        <w:rPr>
          <w:rFonts w:ascii="Garamond" w:hAnsi="Garamond"/>
          <w:b/>
          <w:color w:val="C89720"/>
          <w:sz w:val="20"/>
        </w:rPr>
        <w:t xml:space="preserve">Formatting Standards:  </w:t>
      </w:r>
      <w:r>
        <w:rPr>
          <w:rFonts w:ascii="Garamond" w:hAnsi="Garamond"/>
          <w:color w:val="444444"/>
          <w:sz w:val="20"/>
        </w:rPr>
        <w:t>Font: Times New Roman or Garamond, 12pt. Line spacing: 1.5. Margins: 1" on all sides. Citations: Use SCC Online format (Indian law) or Bluebook 21st ed. (comparative work). Length: 1,500–2,500 words for a research note. 600–800 words for a case comment. Footnotes preferred over in-text citations.</w:t>
      </w:r>
    </w:p>
    <w:p>
      <w:pPr>
        <w:spacing w:before="200" w:after="40"/>
      </w:pPr>
      <w:r>
        <w:rPr>
          <w:rFonts w:ascii="Garamond" w:hAnsi="Garamond"/>
          <w:b/>
          <w:color w:val="C89720"/>
          <w:sz w:val="22"/>
        </w:rPr>
        <w:t>Title / Cover Block</w:t>
      </w:r>
    </w:p>
    <w:p>
      <w:pPr>
        <w:spacing w:before="0" w:after="120"/>
        <w:pBdr>
          <w:bottom w:val="single" w:sz="6" w:space="1" w:color="C89720"/>
        </w:pBdr>
      </w:pPr>
    </w:p>
    <w:p>
      <w:pPr>
        <w:spacing w:before="120" w:after="160"/>
        <w:jc w:val="center"/>
      </w:pPr>
      <w:r>
        <w:rPr>
          <w:rFonts w:ascii="Garamond" w:hAnsi="Garamond"/>
          <w:color w:val="444444"/>
          <w:sz w:val="24"/>
        </w:rPr>
        <w:t>[TITLE OF YOUR RESEARCH NOTE / CASE COMMENT]</w:t>
        <w:br/>
        <w:br/>
        <w:t>[Sub-Title, if applicable]</w:t>
        <w:br/>
        <w:br/>
        <w:t>By: [Your Full Name]</w:t>
        <w:br/>
        <w:t>[Law School Name] | [Year of Study]</w:t>
        <w:br/>
        <w:t>[Email Address] | [Date of Submission]</w:t>
      </w:r>
    </w:p>
    <w:p>
      <w:pPr>
        <w:spacing w:before="320" w:after="40"/>
      </w:pPr>
      <w:r>
        <w:rPr>
          <w:rFonts w:ascii="Garamond" w:hAnsi="Garamond"/>
          <w:b/>
          <w:color w:val="C89720"/>
          <w:sz w:val="24"/>
        </w:rPr>
        <w:t>1. ISSUE / LEGAL QUESTION</w:t>
      </w:r>
    </w:p>
    <w:p>
      <w:pPr>
        <w:spacing w:before="0" w:after="120"/>
        <w:pBdr>
          <w:bottom w:val="single" w:sz="6" w:space="1" w:color="C89720"/>
        </w:pBdr>
      </w:pPr>
    </w:p>
    <w:p>
      <w:pPr>
        <w:spacing w:before="60" w:after="40"/>
      </w:pPr>
      <w:r>
        <w:rPr>
          <w:rFonts w:ascii="Garamond" w:hAnsi="Garamond"/>
          <w:b/>
          <w:color w:val="C89720"/>
          <w:sz w:val="20"/>
        </w:rPr>
        <w:t xml:space="preserve">Guidance:  </w:t>
      </w:r>
      <w:r>
        <w:rPr>
          <w:rFonts w:ascii="Garamond" w:hAnsi="Garamond"/>
          <w:i/>
          <w:color w:val="888888"/>
          <w:sz w:val="20"/>
        </w:rPr>
        <w:t>State the precise legal question your note addresses. Be specific — not "Is data privacy protected?" but "Does Article 21 of the Constitution extend to informational privacy in the context of state-mandated Aadhaar linkage?" One clear sentence.</w:t>
      </w:r>
    </w:p>
    <w:p>
      <w:pPr>
        <w:spacing w:before="160" w:after="60"/>
      </w:pPr>
      <w:r>
        <w:rPr>
          <w:rFonts w:ascii="Garamond" w:hAnsi="Garamond"/>
          <w:b/>
          <w:color w:val="2C3E50"/>
          <w:sz w:val="20"/>
        </w:rPr>
        <w:t>Sample Content (Edit &amp; Replace):</w:t>
      </w:r>
    </w:p>
    <w:p>
      <w:pPr>
        <w:spacing w:before="40" w:after="100"/>
        <w:jc w:val="both"/>
      </w:pPr>
      <w:r>
        <w:rPr>
          <w:rFonts w:ascii="Garamond" w:hAnsi="Garamond"/>
          <w:color w:val="444444"/>
          <w:sz w:val="22"/>
        </w:rPr>
        <w:t>Whether the mandatory linkage of bank accounts with Aadhaar under Section 139AA of the Income Tax Act, 1961 constitutes an unreasonable restriction on the right to privacy guaranteed under Article 21 of the Constitution of India, as affirmed in Justice K.S. Puttaswamy (Retd.) v. Union of India, (2017) 10 SCC 1.</w:t>
      </w:r>
    </w:p>
    <w:p>
      <w:pPr>
        <w:spacing w:before="320" w:after="40"/>
      </w:pPr>
      <w:r>
        <w:rPr>
          <w:rFonts w:ascii="Garamond" w:hAnsi="Garamond"/>
          <w:b/>
          <w:color w:val="C89720"/>
          <w:sz w:val="24"/>
        </w:rPr>
        <w:t>2. STATEMENT OF FACTS</w:t>
      </w:r>
    </w:p>
    <w:p>
      <w:pPr>
        <w:spacing w:before="0" w:after="120"/>
        <w:pBdr>
          <w:bottom w:val="single" w:sz="6" w:space="1" w:color="C89720"/>
        </w:pBdr>
      </w:pPr>
    </w:p>
    <w:p>
      <w:pPr>
        <w:spacing w:before="60" w:after="40"/>
      </w:pPr>
      <w:r>
        <w:rPr>
          <w:rFonts w:ascii="Garamond" w:hAnsi="Garamond"/>
          <w:b/>
          <w:color w:val="C89720"/>
          <w:sz w:val="20"/>
        </w:rPr>
        <w:t xml:space="preserve">Guidance:  </w:t>
      </w:r>
      <w:r>
        <w:rPr>
          <w:rFonts w:ascii="Garamond" w:hAnsi="Garamond"/>
          <w:i/>
          <w:color w:val="888888"/>
          <w:sz w:val="20"/>
        </w:rPr>
        <w:t>For a case comment: summarise only the facts relevant to the legal issue. For a research note: provide background context. Keep this section under 200 words. Do not include procedural history unless it is relevant to the legal question.</w:t>
      </w:r>
    </w:p>
    <w:p>
      <w:pPr>
        <w:spacing w:before="160" w:after="60"/>
      </w:pPr>
      <w:r>
        <w:rPr>
          <w:rFonts w:ascii="Garamond" w:hAnsi="Garamond"/>
          <w:b/>
          <w:color w:val="2C3E50"/>
          <w:sz w:val="20"/>
        </w:rPr>
        <w:t>Sample Content (Edit &amp; Replace):</w:t>
      </w:r>
    </w:p>
    <w:p>
      <w:pPr>
        <w:spacing w:before="40" w:after="100"/>
        <w:jc w:val="both"/>
      </w:pPr>
      <w:r>
        <w:rPr>
          <w:rFonts w:ascii="Garamond" w:hAnsi="Garamond"/>
          <w:color w:val="444444"/>
          <w:sz w:val="22"/>
        </w:rPr>
        <w:t>The petitioner, a [description of petitioner], challenged the constitutional validity of Section [X] of [Statute], which required [brief factual description of the requirement]. The challenge was premised on the ground that the provision [brief description of alleged violation, e.g., violated the right to equality / infringed upon the right to privacy / exceeded legislative competence]. The matter was heard by [Court Name] and is currently [sub judice / decided on DD/MM/YYYY].</w:t>
      </w:r>
    </w:p>
    <w:p>
      <w:pPr>
        <w:spacing w:before="40" w:after="100"/>
        <w:jc w:val="both"/>
      </w:pPr>
      <w:r>
        <w:rPr>
          <w:rFonts w:ascii="Garamond" w:hAnsi="Garamond"/>
          <w:color w:val="444444"/>
          <w:sz w:val="22"/>
        </w:rPr>
        <w:t>[Add 1–2 sentences of procedural history only if directly relevant to the issue.]</w:t>
      </w:r>
    </w:p>
    <w:p>
      <w:pPr>
        <w:spacing w:before="320" w:after="40"/>
      </w:pPr>
      <w:r>
        <w:rPr>
          <w:rFonts w:ascii="Garamond" w:hAnsi="Garamond"/>
          <w:b/>
          <w:color w:val="C89720"/>
          <w:sz w:val="24"/>
        </w:rPr>
        <w:t>3. APPLICABLE LAW / LEGAL FRAMEWORK</w:t>
      </w:r>
    </w:p>
    <w:p>
      <w:pPr>
        <w:spacing w:before="0" w:after="120"/>
        <w:pBdr>
          <w:bottom w:val="single" w:sz="6" w:space="1" w:color="C89720"/>
        </w:pBdr>
      </w:pPr>
    </w:p>
    <w:p>
      <w:pPr>
        <w:spacing w:before="60" w:after="40"/>
      </w:pPr>
      <w:r>
        <w:rPr>
          <w:rFonts w:ascii="Garamond" w:hAnsi="Garamond"/>
          <w:b/>
          <w:color w:val="C89720"/>
          <w:sz w:val="20"/>
        </w:rPr>
        <w:t xml:space="preserve">Guidance:  </w:t>
      </w:r>
      <w:r>
        <w:rPr>
          <w:rFonts w:ascii="Garamond" w:hAnsi="Garamond"/>
          <w:i/>
          <w:color w:val="888888"/>
          <w:sz w:val="20"/>
        </w:rPr>
        <w:t>Identify the statutes, constitutional provisions, and key precedents that govern the issue. Do not explain them in detail yet — just map the legal landscape. Use footnotes for full citations.</w:t>
      </w:r>
    </w:p>
    <w:p>
      <w:pPr>
        <w:spacing w:before="160" w:after="60"/>
      </w:pPr>
      <w:r>
        <w:rPr>
          <w:rFonts w:ascii="Garamond" w:hAnsi="Garamond"/>
          <w:b/>
          <w:color w:val="2C3E50"/>
          <w:sz w:val="20"/>
        </w:rPr>
        <w:t>Sample Content (Edit &amp; Replace):</w:t>
      </w:r>
    </w:p>
    <w:p>
      <w:pPr>
        <w:spacing w:before="40" w:after="100"/>
        <w:jc w:val="both"/>
      </w:pPr>
      <w:r>
        <w:rPr>
          <w:rFonts w:ascii="Garamond" w:hAnsi="Garamond"/>
          <w:color w:val="444444"/>
          <w:sz w:val="22"/>
        </w:rPr>
        <w:t>The issue engages the following legal provisions and authorities:</w:t>
      </w:r>
    </w:p>
    <w:p>
      <w:pPr>
        <w:spacing w:before="40" w:after="100"/>
        <w:jc w:val="both"/>
      </w:pPr>
      <w:r>
        <w:rPr>
          <w:rFonts w:ascii="Garamond" w:hAnsi="Garamond"/>
          <w:color w:val="444444"/>
          <w:sz w:val="22"/>
        </w:rPr>
        <w:t>(i) Article 21 of the Constitution of India — Right to Life and Personal Liberty;</w:t>
        <w:br/>
        <w:t>(ii) Section [X] of [Statute], [Year] — [Brief description of the provision];</w:t>
        <w:br/>
        <w:t>(iii) Justice K.S. Puttaswamy (Retd.) v. Union of India, (2017) 10 SCC 1 — [Relevance: Affirmed right to privacy as a fundamental right];</w:t>
        <w:br/>
        <w:t>(iv) [Case Name], ([Year]) [Citation] — [Relevance: Established the proportionality standard / defined scope of restriction];</w:t>
        <w:br/>
        <w:t>(v) [Academic Source / International Law Instrument, if applicable].</w:t>
      </w:r>
    </w:p>
    <w:p>
      <w:pPr>
        <w:spacing w:before="320" w:after="40"/>
      </w:pPr>
      <w:r>
        <w:rPr>
          <w:rFonts w:ascii="Garamond" w:hAnsi="Garamond"/>
          <w:b/>
          <w:color w:val="C89720"/>
          <w:sz w:val="24"/>
        </w:rPr>
        <w:t>4. ANALYSIS</w:t>
      </w:r>
    </w:p>
    <w:p>
      <w:pPr>
        <w:spacing w:before="0" w:after="120"/>
        <w:pBdr>
          <w:bottom w:val="single" w:sz="6" w:space="1" w:color="C89720"/>
        </w:pBdr>
      </w:pPr>
    </w:p>
    <w:p>
      <w:pPr>
        <w:spacing w:before="60" w:after="40"/>
      </w:pPr>
      <w:r>
        <w:rPr>
          <w:rFonts w:ascii="Garamond" w:hAnsi="Garamond"/>
          <w:b/>
          <w:color w:val="C89720"/>
          <w:sz w:val="20"/>
        </w:rPr>
        <w:t xml:space="preserve">Guidance:  </w:t>
      </w:r>
      <w:r>
        <w:rPr>
          <w:rFonts w:ascii="Garamond" w:hAnsi="Garamond"/>
          <w:i/>
          <w:color w:val="888888"/>
          <w:sz w:val="20"/>
        </w:rPr>
        <w:t>This is the substantive core. Break your analysis into 2–4 sub-sections with clear headings. Each sub-section should address one argument or dimension of the issue. Be direct. Take a position. Support it with law and reasoning. Do not merely describe — argue.</w:t>
      </w:r>
    </w:p>
    <w:p>
      <w:pPr>
        <w:spacing w:before="160" w:after="60"/>
      </w:pPr>
      <w:r>
        <w:rPr>
          <w:rFonts w:ascii="Garamond" w:hAnsi="Garamond"/>
          <w:b/>
          <w:color w:val="2C3E50"/>
          <w:sz w:val="20"/>
        </w:rPr>
        <w:t>Sample Content (Edit &amp; Replace):</w:t>
      </w:r>
    </w:p>
    <w:p>
      <w:pPr>
        <w:spacing w:before="40" w:after="100"/>
        <w:jc w:val="both"/>
      </w:pPr>
      <w:r>
        <w:rPr>
          <w:rFonts w:ascii="Garamond" w:hAnsi="Garamond"/>
          <w:color w:val="444444"/>
          <w:sz w:val="22"/>
        </w:rPr>
        <w:t>4.1 The Proportionality Standard Under Article 21</w:t>
      </w:r>
    </w:p>
    <w:p>
      <w:pPr>
        <w:spacing w:before="40" w:after="100"/>
        <w:jc w:val="both"/>
      </w:pPr>
      <w:r>
        <w:rPr>
          <w:rFonts w:ascii="Garamond" w:hAnsi="Garamond"/>
          <w:color w:val="444444"/>
          <w:sz w:val="22"/>
        </w:rPr>
        <w:t>The Supreme Court in Puttaswamy articulated a four-pronged test for restrictions on the right to privacy: the restriction must be sanctioned by law, pursue a legitimate aim, be necessary and proportionate to that aim, and comply with procedural guarantees. The mandatory Aadhaar linkage satisfies the first limb — it is legislatively sanctioned under Section 139AA — but fails the proportionality test for the reasons discussed below.</w:t>
      </w:r>
    </w:p>
    <w:p>
      <w:pPr>
        <w:spacing w:before="40" w:after="100"/>
        <w:jc w:val="both"/>
      </w:pPr>
      <w:r>
        <w:rPr>
          <w:rFonts w:ascii="Garamond" w:hAnsi="Garamond"/>
          <w:color w:val="444444"/>
          <w:sz w:val="22"/>
        </w:rPr>
        <w:t>4.2 Failure of Proportionality: Over-Breadth of the Measure</w:t>
      </w:r>
    </w:p>
    <w:p>
      <w:pPr>
        <w:spacing w:before="40" w:after="100"/>
        <w:jc w:val="both"/>
      </w:pPr>
      <w:r>
        <w:rPr>
          <w:rFonts w:ascii="Garamond" w:hAnsi="Garamond"/>
          <w:color w:val="444444"/>
          <w:sz w:val="22"/>
        </w:rPr>
        <w:t>The provision requires all account holders to link their Aadhaar regardless of whether they are the subject of any tax evasion suspicion. The measure is not narrowly tailored to the legitimate goal of curbing tax fraud; it captures all citizens indiscriminately. As held in [Relevant Case Name], a restriction that sweeps more broadly than its stated objective cannot satisfy the proportionality standard. The state's failure to demonstrate a rational nexus between universal linkage and the specific harm sought to be prevented renders the provision disproportionate.</w:t>
      </w:r>
    </w:p>
    <w:p>
      <w:pPr>
        <w:spacing w:before="40" w:after="100"/>
        <w:jc w:val="both"/>
      </w:pPr>
      <w:r>
        <w:rPr>
          <w:rFonts w:ascii="Garamond" w:hAnsi="Garamond"/>
          <w:color w:val="444444"/>
          <w:sz w:val="22"/>
        </w:rPr>
        <w:t>4.3 [Additional Sub-Section Heading — e.g., Comparative Perspective / Counter-Argument and Rebuttal]</w:t>
      </w:r>
    </w:p>
    <w:p>
      <w:pPr>
        <w:spacing w:before="40" w:after="100"/>
        <w:jc w:val="both"/>
      </w:pPr>
      <w:r>
        <w:rPr>
          <w:rFonts w:ascii="Garamond" w:hAnsi="Garamond"/>
          <w:color w:val="444444"/>
          <w:sz w:val="22"/>
        </w:rPr>
        <w:t>[Add your additional analysis here. If you are presenting a counter-argument, state it fairly before rebutting it with legal reasoning. This demonstrates intellectual honesty and analytical rigour.]</w:t>
      </w:r>
    </w:p>
    <w:p>
      <w:pPr>
        <w:spacing w:before="320" w:after="40"/>
      </w:pPr>
      <w:r>
        <w:rPr>
          <w:rFonts w:ascii="Garamond" w:hAnsi="Garamond"/>
          <w:b/>
          <w:color w:val="C89720"/>
          <w:sz w:val="24"/>
        </w:rPr>
        <w:t>5. CONCLUSION</w:t>
      </w:r>
    </w:p>
    <w:p>
      <w:pPr>
        <w:spacing w:before="0" w:after="120"/>
        <w:pBdr>
          <w:bottom w:val="single" w:sz="6" w:space="1" w:color="C89720"/>
        </w:pBdr>
      </w:pPr>
    </w:p>
    <w:p>
      <w:pPr>
        <w:spacing w:before="60" w:after="40"/>
      </w:pPr>
      <w:r>
        <w:rPr>
          <w:rFonts w:ascii="Garamond" w:hAnsi="Garamond"/>
          <w:b/>
          <w:color w:val="C89720"/>
          <w:sz w:val="20"/>
        </w:rPr>
        <w:t xml:space="preserve">Guidance:  </w:t>
      </w:r>
      <w:r>
        <w:rPr>
          <w:rFonts w:ascii="Garamond" w:hAnsi="Garamond"/>
          <w:i/>
          <w:color w:val="888888"/>
          <w:sz w:val="20"/>
        </w:rPr>
        <w:t>Summarise your position in 3–5 sentences. Do not introduce new arguments here. State what the law should be (de lege ferenda) if appropriate. End with a clear, declarative statement.</w:t>
      </w:r>
    </w:p>
    <w:p>
      <w:pPr>
        <w:spacing w:before="160" w:after="60"/>
      </w:pPr>
      <w:r>
        <w:rPr>
          <w:rFonts w:ascii="Garamond" w:hAnsi="Garamond"/>
          <w:b/>
          <w:color w:val="2C3E50"/>
          <w:sz w:val="20"/>
        </w:rPr>
        <w:t>Sample Content (Edit &amp; Replace):</w:t>
      </w:r>
    </w:p>
    <w:p>
      <w:pPr>
        <w:spacing w:before="40" w:after="100"/>
        <w:jc w:val="both"/>
      </w:pPr>
      <w:r>
        <w:rPr>
          <w:rFonts w:ascii="Garamond" w:hAnsi="Garamond"/>
          <w:color w:val="444444"/>
          <w:sz w:val="22"/>
        </w:rPr>
        <w:t>The mandatory Aadhaar linkage requirement under Section 139AA fails the proportionality test established in Puttaswamy and constitutes an unreasonable restriction on the right to privacy under Article 21. A narrower measure — such as linkage limited to accounts exceeding a threshold transaction value or flagged for suspicious activity — would achieve the state's legitimate aim without engaging the fundamental rights of all citizens. The Supreme Court's ultimate ruling in [Binoy Viswam v. Union of India] acknowledged the provision's validity on a different ground, but the proportionality question remains inadequately settled. Future litigation may benefit from the framework advanced in this note.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