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hd w:fill="1A1A2E" w:val="clear"/>
        <w:spacing w:before="0" w:after="100"/>
        <w:jc w:val="center"/>
      </w:pPr>
      <w:r>
        <w:rPr>
          <w:rFonts w:ascii="Arial" w:cs="Arial" w:eastAsia="Arial" w:hAnsi="Arial"/>
          <w:b/>
          <w:bCs/>
          <w:color w:val="C9A84C"/>
          <w:sz w:val="28"/>
          <w:szCs w:val="28"/>
        </w:rPr>
        <w:t xml:space="preserve">GURU LEGAL</w:t>
      </w:r>
    </w:p>
    <w:p>
      <w:pPr>
        <w:shd w:fill="1A1A2E" w:val="clear"/>
        <w:spacing w:before="0" w:after="80"/>
        <w:jc w:val="center"/>
      </w:pPr>
      <w:r>
        <w:rPr>
          <w:rFonts w:ascii="Arial" w:cs="Arial" w:eastAsia="Arial" w:hAnsi="Arial"/>
          <w:color w:val="CCCCCC"/>
          <w:sz w:val="18"/>
          <w:szCs w:val="18"/>
        </w:rPr>
        <w:t xml:space="preserve">gurulegal.in  |  contact@gurulegal.in  |  +91 73517 71555</w:t>
      </w:r>
    </w:p>
    <w:p>
      <w:pPr>
        <w:spacing w:before="200" w:after="120"/>
        <w:jc w:val="center"/>
      </w:pPr>
      <w:r>
        <w:rPr>
          <w:rFonts w:ascii="Arial" w:cs="Arial" w:eastAsia="Arial" w:hAnsi="Arial"/>
          <w:b/>
          <w:bCs/>
          <w:color w:val="1A1A2E"/>
          <w:sz w:val="40"/>
          <w:szCs w:val="40"/>
        </w:rPr>
        <w:t xml:space="preserve">Legal Research Skills Checklist</w:t>
      </w:r>
    </w:p>
    <w:p>
      <w:pPr>
        <w:spacing w:before="0" w:after="80"/>
        <w:jc w:val="center"/>
      </w:pPr>
      <w:r>
        <w:rPr>
          <w:rFonts w:ascii="Arial" w:cs="Arial" w:eastAsia="Arial" w:hAnsi="Arial"/>
          <w:i/>
          <w:iCs/>
          <w:color w:val="666666"/>
          <w:sz w:val="22"/>
          <w:szCs w:val="22"/>
        </w:rPr>
        <w:t xml:space="preserve">Master SCC Online, Manupatra &amp; Indian Kanoon | Career Counselling Series</w:t>
      </w:r>
    </w:p>
    <w:p>
      <w:pPr>
        <w:pBdr>
          <w:bottom w:val="single" w:color="C9A84C" w:sz="8" w:space="1"/>
        </w:pBdr>
        <w:spacing w:before="0" w:after="300"/>
      </w:pPr>
    </w:p>
    <w:p>
      <w:pPr>
        <w:spacing w:before="0" w:after="200"/>
      </w:pPr>
      <w:r>
        <w:rPr>
          <w:rFonts w:ascii="Arial" w:cs="Arial" w:eastAsia="Arial" w:hAnsi="Arial"/>
          <w:color w:val="2D2D2D"/>
          <w:sz w:val="20"/>
          <w:szCs w:val="20"/>
        </w:rPr>
        <w:t xml:space="preserve">This checklist helps law students audit and strengthen their legal research skills on India's top legal databases. Go through each item, check what you can do confidently, and use the gaps as your learning roadmap.</w:t>
      </w:r>
    </w:p>
    <w:p>
      <w:pPr>
        <w:shd w:fill="E8E0D0" w:val="clear"/>
        <w:spacing w:before="0" w:after="240"/>
      </w:pPr>
      <w:r>
        <w:rPr>
          <w:rFonts w:ascii="Arial" w:cs="Arial" w:eastAsia="Arial" w:hAnsi="Arial"/>
          <w:b/>
          <w:bCs/>
          <w:color w:val="1A1A2E"/>
          <w:sz w:val="20"/>
          <w:szCs w:val="20"/>
        </w:rPr>
        <w:t xml:space="preserve">  HOW TO USE: Check off each skill you have mastered. Use unchecked items as personal research training goals. Revisit monthly.</w:t>
      </w:r>
    </w:p>
    <w:p>
      <w:pPr>
        <w:shd w:fill="1A1A2E" w:val="clear"/>
        <w:spacing w:before="300" w:after="120"/>
      </w:pPr>
      <w:r>
        <w:rPr>
          <w:rFonts w:ascii="Arial" w:cs="Arial" w:eastAsia="Arial" w:hAnsi="Arial"/>
          <w:b/>
          <w:bCs/>
          <w:color w:val="FFFFFF"/>
          <w:sz w:val="26"/>
          <w:szCs w:val="26"/>
        </w:rPr>
        <w:t xml:space="preserve">  SCC Online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5400"/>
        <w:gridCol w:w="3360"/>
      </w:tblGrid>
      <w:tr>
        <w:trPr>
          <w:tblHeader/>
        </w:trPr>
        <w:tc>
          <w:tcPr>
            <w:tcW w:type="dxa" w:w="60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pPr>
              <w:jc w:val="center"/>
            </w:pPr>
            <w:r>
              <w:rPr>
                <w:rFonts w:ascii="Arial" w:cs="Arial" w:eastAsia="Arial" w:hAnsi="Arial"/>
                <w:b/>
                <w:bCs/>
                <w:color w:val="FFFFFF"/>
                <w:sz w:val="22"/>
                <w:szCs w:val="22"/>
              </w:rPr>
              <w:t xml:space="preserve">✓</w:t>
            </w:r>
          </w:p>
        </w:tc>
        <w:tc>
          <w:tcPr>
            <w:tcW w:type="dxa" w:w="540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r>
              <w:rPr>
                <w:rFonts w:ascii="Arial" w:cs="Arial" w:eastAsia="Arial" w:hAnsi="Arial"/>
                <w:b/>
                <w:bCs/>
                <w:color w:val="FFFFFF"/>
                <w:sz w:val="20"/>
                <w:szCs w:val="20"/>
              </w:rPr>
              <w:t xml:space="preserve">Skill / Action</w:t>
            </w:r>
          </w:p>
        </w:tc>
        <w:tc>
          <w:tcPr>
            <w:tcW w:type="dxa" w:w="336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Create a student account or use institutional access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Advanced Search to filter by court, year, bench strength</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Search by citation format (e.g. AIR, SCC, SCR)</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Headnotes to quickly grasp ratio decidendi</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Save cases in folders for future reference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Cross-check citations using the Cited By / Citing feature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Download full judgments in PDF format</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the Acts section for bare acts with annotations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bl>
    <w:p>
      <w:pPr>
        <w:spacing w:before="80" w:after="0"/>
      </w:pPr>
    </w:p>
    <w:p>
      <w:pPr>
        <w:shd w:fill="1A1A2E" w:val="clear"/>
        <w:spacing w:before="300" w:after="120"/>
      </w:pPr>
      <w:r>
        <w:rPr>
          <w:rFonts w:ascii="Arial" w:cs="Arial" w:eastAsia="Arial" w:hAnsi="Arial"/>
          <w:b/>
          <w:bCs/>
          <w:color w:val="FFFFFF"/>
          <w:sz w:val="26"/>
          <w:szCs w:val="26"/>
        </w:rPr>
        <w:t xml:space="preserve">  Manupatra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5400"/>
        <w:gridCol w:w="3360"/>
      </w:tblGrid>
      <w:tr>
        <w:trPr>
          <w:tblHeader/>
        </w:trPr>
        <w:tc>
          <w:tcPr>
            <w:tcW w:type="dxa" w:w="60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pPr>
              <w:jc w:val="center"/>
            </w:pPr>
            <w:r>
              <w:rPr>
                <w:rFonts w:ascii="Arial" w:cs="Arial" w:eastAsia="Arial" w:hAnsi="Arial"/>
                <w:b/>
                <w:bCs/>
                <w:color w:val="FFFFFF"/>
                <w:sz w:val="22"/>
                <w:szCs w:val="22"/>
              </w:rPr>
              <w:t xml:space="preserve">✓</w:t>
            </w:r>
          </w:p>
        </w:tc>
        <w:tc>
          <w:tcPr>
            <w:tcW w:type="dxa" w:w="540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r>
              <w:rPr>
                <w:rFonts w:ascii="Arial" w:cs="Arial" w:eastAsia="Arial" w:hAnsi="Arial"/>
                <w:b/>
                <w:bCs/>
                <w:color w:val="FFFFFF"/>
                <w:sz w:val="20"/>
                <w:szCs w:val="20"/>
              </w:rPr>
              <w:t xml:space="preserve">Skill / Action</w:t>
            </w:r>
          </w:p>
        </w:tc>
        <w:tc>
          <w:tcPr>
            <w:tcW w:type="dxa" w:w="336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Register as a law student for free or discounted access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keyword search and Find Similar for related judgments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Check Legislative History for amendment tracking</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Law Commission Reports for deeper research</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Access Citator to check if a case is still good law</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Filter by court hierarchy for precedent research</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Subject Index for topic-based case research</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Download and cite using proper Manupatra citation format</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bl>
    <w:p>
      <w:pPr>
        <w:spacing w:before="80" w:after="0"/>
      </w:pPr>
    </w:p>
    <w:p>
      <w:pPr>
        <w:shd w:fill="1A1A2E" w:val="clear"/>
        <w:spacing w:before="300" w:after="120"/>
      </w:pPr>
      <w:r>
        <w:rPr>
          <w:rFonts w:ascii="Arial" w:cs="Arial" w:eastAsia="Arial" w:hAnsi="Arial"/>
          <w:b/>
          <w:bCs/>
          <w:color w:val="FFFFFF"/>
          <w:sz w:val="26"/>
          <w:szCs w:val="26"/>
        </w:rPr>
        <w:t xml:space="preserve">  Indian Kanoon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5400"/>
        <w:gridCol w:w="3360"/>
      </w:tblGrid>
      <w:tr>
        <w:trPr>
          <w:tblHeader/>
        </w:trPr>
        <w:tc>
          <w:tcPr>
            <w:tcW w:type="dxa" w:w="60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pPr>
              <w:jc w:val="center"/>
            </w:pPr>
            <w:r>
              <w:rPr>
                <w:rFonts w:ascii="Arial" w:cs="Arial" w:eastAsia="Arial" w:hAnsi="Arial"/>
                <w:b/>
                <w:bCs/>
                <w:color w:val="FFFFFF"/>
                <w:sz w:val="22"/>
                <w:szCs w:val="22"/>
              </w:rPr>
              <w:t xml:space="preserve">✓</w:t>
            </w:r>
          </w:p>
        </w:tc>
        <w:tc>
          <w:tcPr>
            <w:tcW w:type="dxa" w:w="540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r>
              <w:rPr>
                <w:rFonts w:ascii="Arial" w:cs="Arial" w:eastAsia="Arial" w:hAnsi="Arial"/>
                <w:b/>
                <w:bCs/>
                <w:color w:val="FFFFFF"/>
                <w:sz w:val="20"/>
                <w:szCs w:val="20"/>
              </w:rPr>
              <w:t xml:space="preserve">Skill / Action</w:t>
            </w:r>
          </w:p>
        </w:tc>
        <w:tc>
          <w:tcPr>
            <w:tcW w:type="dxa" w:w="3360"/>
            <w:tcBorders>
              <w:top w:val="single" w:color="CCCCCC" w:sz="1"/>
              <w:left w:val="single" w:color="CCCCCC" w:sz="1"/>
              <w:bottom w:val="single" w:color="CCCCCC" w:sz="1"/>
              <w:right w:val="single" w:color="CCCCCC" w:sz="1"/>
            </w:tcBorders>
            <w:shd w:fill="C9A84C"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Useful for free, quick access to judgments and statutes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quotes for exact phrase search (e.g. natural justice)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Filter results by court type from the sidebar</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Check Referenced In and Referred To sections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Use for locating obscure High Court judgments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Cross-verify with SCC or Manupatra for accuracy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Do not cite Indian Kanoon directly -- use it to find citations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Check Doc Type to differentiate judgments from orders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bl>
    <w:p>
      <w:pPr>
        <w:spacing w:before="80" w:after="0"/>
      </w:pPr>
    </w:p>
    <w:p>
      <w:pPr>
        <w:shd w:fill="1A1A2E" w:val="clear"/>
        <w:spacing w:before="300" w:after="120"/>
      </w:pPr>
      <w:r>
        <w:rPr>
          <w:rFonts w:ascii="Arial" w:cs="Arial" w:eastAsia="Arial" w:hAnsi="Arial"/>
          <w:b/>
          <w:bCs/>
          <w:color w:val="FFFFFF"/>
          <w:sz w:val="26"/>
          <w:szCs w:val="26"/>
        </w:rPr>
        <w:t xml:space="preserve">  General Research Best Practices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5400"/>
        <w:gridCol w:w="3360"/>
      </w:tblGrid>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Always verify current validity of a case (check if overruled or distinguished)</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Note bench strength -- larger benches carry more precedential weight</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Identify ratio decidendi vs. obiter dicta before citing</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Create a research log for each problem to avoid duplication</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Practice finding cases in under 3 minutes using advanced search filters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Learn to build a case tree: landmark case to subsequent decisions to current position</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Always download and save sources -- do not rely on browser tabs</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pPr>
              <w:jc w:val="center"/>
            </w:pPr>
            <w:r>
              <w:rPr>
                <w:rFonts w:ascii="Arial" w:cs="Arial" w:eastAsia="Arial" w:hAnsi="Arial"/>
                <w:sz w:val="22"/>
                <w:szCs w:val="22"/>
              </w:rPr>
              <w:t xml:space="preserve">☐</w:t>
            </w:r>
          </w:p>
        </w:tc>
        <w:tc>
          <w:tcPr>
            <w:tcW w:type="dxa" w:w="5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Cite accurately: (Year) Volume SCC Page or AIR Year Court Page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18"/>
                <w:szCs w:val="18"/>
              </w:rPr>
              <w:t xml:space="preserve"> </w:t>
            </w:r>
          </w:p>
        </w:tc>
      </w:tr>
    </w:tbl>
    <w:p>
      <w:pPr>
        <w:spacing w:before="300" w:after="80"/>
      </w:pPr>
    </w:p>
    <w:p>
      <w:pPr>
        <w:shd w:fill="1A1A2E" w:val="clear"/>
        <w:spacing w:before="300" w:after="120"/>
      </w:pPr>
      <w:r>
        <w:rPr>
          <w:rFonts w:ascii="Arial" w:cs="Arial" w:eastAsia="Arial" w:hAnsi="Arial"/>
          <w:b/>
          <w:bCs/>
          <w:color w:val="FFFFFF"/>
          <w:sz w:val="26"/>
          <w:szCs w:val="26"/>
        </w:rPr>
        <w:t xml:space="preserve">  My Research Skills Progress Tracker</w:t>
      </w:r>
    </w:p>
    <w:p>
      <w:pPr>
        <w:spacing w:before="60" w:after="80"/>
      </w:pPr>
      <w:r>
        <w:rPr>
          <w:rFonts w:ascii="Arial" w:cs="Arial" w:eastAsia="Arial" w:hAnsi="Arial"/>
          <w:color w:val="2D2D2D"/>
          <w:sz w:val="20"/>
          <w:szCs w:val="20"/>
        </w:rPr>
        <w:t xml:space="preserve">Rate your current level for each area (1 = Needs Work, 5 = Expert):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000"/>
        <w:gridCol w:w="872"/>
        <w:gridCol w:w="872"/>
        <w:gridCol w:w="872"/>
        <w:gridCol w:w="872"/>
        <w:gridCol w:w="872"/>
      </w:tblGrid>
      <w:tr>
        <w:trPr>
          <w:tblHeader/>
        </w:trPr>
        <w:tc>
          <w:tcPr>
            <w:tcW w:type="dxa" w:w="5000"/>
            <w:tcBorders>
              <w:top w:val="single" w:color="CCCCCC" w:sz="1"/>
              <w:left w:val="single" w:color="CCCCCC" w:sz="1"/>
              <w:bottom w:val="single" w:color="CCCCCC" w:sz="1"/>
              <w:right w:val="single" w:color="CCCCCC" w:sz="1"/>
            </w:tcBorders>
            <w:shd w:fill="1A1A2E" w:val="clear"/>
            <w:tcMar>
              <w:top w:type="dxa" w:w="80"/>
              <w:left w:type="dxa" w:w="120"/>
              <w:bottom w:type="dxa" w:w="80"/>
              <w:right w:type="dxa" w:w="120"/>
            </w:tcMar>
          </w:tcPr>
          <w:p>
            <w:r>
              <w:rPr>
                <w:rFonts w:ascii="Arial" w:cs="Arial" w:eastAsia="Arial" w:hAnsi="Arial"/>
                <w:b/>
                <w:bCs/>
                <w:color w:val="FFFFFF"/>
                <w:sz w:val="20"/>
                <w:szCs w:val="20"/>
              </w:rPr>
              <w:t xml:space="preserve">Research Skill Area</w:t>
            </w:r>
          </w:p>
        </w:tc>
        <w:tc>
          <w:tcPr>
            <w:tcW w:type="dxa" w:w="872"/>
            <w:tcBorders>
              <w:top w:val="single" w:color="CCCCCC" w:sz="1"/>
              <w:left w:val="single" w:color="CCCCCC" w:sz="1"/>
              <w:bottom w:val="single" w:color="CCCCCC" w:sz="1"/>
              <w:right w:val="single" w:color="CCCCCC" w:sz="1"/>
            </w:tcBorders>
            <w:shd w:fill="C9A84C" w:val="clear"/>
            <w:tcMar>
              <w:top w:type="dxa" w:w="80"/>
              <w:left w:type="dxa" w:w="60"/>
              <w:bottom w:type="dxa" w:w="80"/>
              <w:right w:type="dxa" w:w="60"/>
            </w:tcMar>
          </w:tcPr>
          <w:p>
            <w:pPr>
              <w:jc w:val="center"/>
            </w:pPr>
            <w:r>
              <w:rPr>
                <w:rFonts w:ascii="Arial" w:cs="Arial" w:eastAsia="Arial" w:hAnsi="Arial"/>
                <w:b/>
                <w:bCs/>
                <w:color w:val="FFFFFF"/>
                <w:sz w:val="20"/>
                <w:szCs w:val="20"/>
              </w:rPr>
              <w:t xml:space="preserve">1</w:t>
            </w:r>
          </w:p>
        </w:tc>
        <w:tc>
          <w:tcPr>
            <w:tcW w:type="dxa" w:w="872"/>
            <w:tcBorders>
              <w:top w:val="single" w:color="CCCCCC" w:sz="1"/>
              <w:left w:val="single" w:color="CCCCCC" w:sz="1"/>
              <w:bottom w:val="single" w:color="CCCCCC" w:sz="1"/>
              <w:right w:val="single" w:color="CCCCCC" w:sz="1"/>
            </w:tcBorders>
            <w:shd w:fill="C9A84C" w:val="clear"/>
            <w:tcMar>
              <w:top w:type="dxa" w:w="80"/>
              <w:left w:type="dxa" w:w="60"/>
              <w:bottom w:type="dxa" w:w="80"/>
              <w:right w:type="dxa" w:w="60"/>
            </w:tcMar>
          </w:tcPr>
          <w:p>
            <w:pPr>
              <w:jc w:val="center"/>
            </w:pPr>
            <w:r>
              <w:rPr>
                <w:rFonts w:ascii="Arial" w:cs="Arial" w:eastAsia="Arial" w:hAnsi="Arial"/>
                <w:b/>
                <w:bCs/>
                <w:color w:val="FFFFFF"/>
                <w:sz w:val="20"/>
                <w:szCs w:val="20"/>
              </w:rPr>
              <w:t xml:space="preserve">2</w:t>
            </w:r>
          </w:p>
        </w:tc>
        <w:tc>
          <w:tcPr>
            <w:tcW w:type="dxa" w:w="872"/>
            <w:tcBorders>
              <w:top w:val="single" w:color="CCCCCC" w:sz="1"/>
              <w:left w:val="single" w:color="CCCCCC" w:sz="1"/>
              <w:bottom w:val="single" w:color="CCCCCC" w:sz="1"/>
              <w:right w:val="single" w:color="CCCCCC" w:sz="1"/>
            </w:tcBorders>
            <w:shd w:fill="C9A84C" w:val="clear"/>
            <w:tcMar>
              <w:top w:type="dxa" w:w="80"/>
              <w:left w:type="dxa" w:w="60"/>
              <w:bottom w:type="dxa" w:w="80"/>
              <w:right w:type="dxa" w:w="60"/>
            </w:tcMar>
          </w:tcPr>
          <w:p>
            <w:pPr>
              <w:jc w:val="center"/>
            </w:pPr>
            <w:r>
              <w:rPr>
                <w:rFonts w:ascii="Arial" w:cs="Arial" w:eastAsia="Arial" w:hAnsi="Arial"/>
                <w:b/>
                <w:bCs/>
                <w:color w:val="FFFFFF"/>
                <w:sz w:val="20"/>
                <w:szCs w:val="20"/>
              </w:rPr>
              <w:t xml:space="preserve">3</w:t>
            </w:r>
          </w:p>
        </w:tc>
        <w:tc>
          <w:tcPr>
            <w:tcW w:type="dxa" w:w="872"/>
            <w:tcBorders>
              <w:top w:val="single" w:color="CCCCCC" w:sz="1"/>
              <w:left w:val="single" w:color="CCCCCC" w:sz="1"/>
              <w:bottom w:val="single" w:color="CCCCCC" w:sz="1"/>
              <w:right w:val="single" w:color="CCCCCC" w:sz="1"/>
            </w:tcBorders>
            <w:shd w:fill="C9A84C" w:val="clear"/>
            <w:tcMar>
              <w:top w:type="dxa" w:w="80"/>
              <w:left w:type="dxa" w:w="60"/>
              <w:bottom w:type="dxa" w:w="80"/>
              <w:right w:type="dxa" w:w="60"/>
            </w:tcMar>
          </w:tcPr>
          <w:p>
            <w:pPr>
              <w:jc w:val="center"/>
            </w:pPr>
            <w:r>
              <w:rPr>
                <w:rFonts w:ascii="Arial" w:cs="Arial" w:eastAsia="Arial" w:hAnsi="Arial"/>
                <w:b/>
                <w:bCs/>
                <w:color w:val="FFFFFF"/>
                <w:sz w:val="20"/>
                <w:szCs w:val="20"/>
              </w:rPr>
              <w:t xml:space="preserve">4</w:t>
            </w:r>
          </w:p>
        </w:tc>
        <w:tc>
          <w:tcPr>
            <w:tcW w:type="dxa" w:w="872"/>
            <w:tcBorders>
              <w:top w:val="single" w:color="CCCCCC" w:sz="1"/>
              <w:left w:val="single" w:color="CCCCCC" w:sz="1"/>
              <w:bottom w:val="single" w:color="CCCCCC" w:sz="1"/>
              <w:right w:val="single" w:color="CCCCCC" w:sz="1"/>
            </w:tcBorders>
            <w:shd w:fill="C9A84C" w:val="clear"/>
            <w:tcMar>
              <w:top w:type="dxa" w:w="80"/>
              <w:left w:type="dxa" w:w="60"/>
              <w:bottom w:type="dxa" w:w="80"/>
              <w:right w:type="dxa" w:w="60"/>
            </w:tcMar>
          </w:tcPr>
          <w:p>
            <w:pPr>
              <w:jc w:val="center"/>
            </w:pPr>
            <w:r>
              <w:rPr>
                <w:rFonts w:ascii="Arial" w:cs="Arial" w:eastAsia="Arial" w:hAnsi="Arial"/>
                <w:b/>
                <w:bCs/>
                <w:color w:val="FFFFFF"/>
                <w:sz w:val="20"/>
                <w:szCs w:val="20"/>
              </w:rPr>
              <w:t xml:space="preserve">5</w:t>
            </w:r>
          </w:p>
        </w:tc>
      </w:tr>
      <w:tr>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SCC Online -- Navigation and Advanced Search</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1</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2</w:t>
            </w:r>
          </w:p>
        </w:tc>
        <w:tc>
          <w:tcPr>
            <w:tcW w:type="dxa" w:w="872"/>
            <w:tcBorders>
              <w:top w:val="single" w:color="CCCCCC" w:sz="1"/>
              <w:left w:val="single" w:color="CCCCCC" w:sz="1"/>
              <w:bottom w:val="single" w:color="CCCCCC" w:sz="1"/>
              <w:right w:val="single" w:color="CCCCCC" w:sz="1"/>
            </w:tcBorders>
            <w:shd w:fill="FFF8DC"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3</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4</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5</w:t>
            </w:r>
          </w:p>
        </w:tc>
      </w:tr>
      <w:tr>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Manupatra -- Legislative History and Citator</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1</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2</w:t>
            </w:r>
          </w:p>
        </w:tc>
        <w:tc>
          <w:tcPr>
            <w:tcW w:type="dxa" w:w="872"/>
            <w:tcBorders>
              <w:top w:val="single" w:color="CCCCCC" w:sz="1"/>
              <w:left w:val="single" w:color="CCCCCC" w:sz="1"/>
              <w:bottom w:val="single" w:color="CCCCCC" w:sz="1"/>
              <w:right w:val="single" w:color="CCCCCC" w:sz="1"/>
            </w:tcBorders>
            <w:shd w:fill="FFF8DC"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3</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4</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5</w:t>
            </w:r>
          </w:p>
        </w:tc>
      </w:tr>
      <w:tr>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Indian Kanoon -- Quick Search and Cross-Verification</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1</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2</w:t>
            </w:r>
          </w:p>
        </w:tc>
        <w:tc>
          <w:tcPr>
            <w:tcW w:type="dxa" w:w="872"/>
            <w:tcBorders>
              <w:top w:val="single" w:color="CCCCCC" w:sz="1"/>
              <w:left w:val="single" w:color="CCCCCC" w:sz="1"/>
              <w:bottom w:val="single" w:color="CCCCCC" w:sz="1"/>
              <w:right w:val="single" w:color="CCCCCC" w:sz="1"/>
            </w:tcBorders>
            <w:shd w:fill="FFF8DC"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3</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4</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5</w:t>
            </w:r>
          </w:p>
        </w:tc>
      </w:tr>
      <w:tr>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Citation Accuracy and Formatting</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1</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2</w:t>
            </w:r>
          </w:p>
        </w:tc>
        <w:tc>
          <w:tcPr>
            <w:tcW w:type="dxa" w:w="872"/>
            <w:tcBorders>
              <w:top w:val="single" w:color="CCCCCC" w:sz="1"/>
              <w:left w:val="single" w:color="CCCCCC" w:sz="1"/>
              <w:bottom w:val="single" w:color="CCCCCC" w:sz="1"/>
              <w:right w:val="single" w:color="CCCCCC" w:sz="1"/>
            </w:tcBorders>
            <w:shd w:fill="FFF8DC"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3</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4</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5</w:t>
            </w:r>
          </w:p>
        </w:tc>
      </w:tr>
      <w:tr>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Identifying Ratio vs. Obiter Dicta</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1</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2</w:t>
            </w:r>
          </w:p>
        </w:tc>
        <w:tc>
          <w:tcPr>
            <w:tcW w:type="dxa" w:w="872"/>
            <w:tcBorders>
              <w:top w:val="single" w:color="CCCCCC" w:sz="1"/>
              <w:left w:val="single" w:color="CCCCCC" w:sz="1"/>
              <w:bottom w:val="single" w:color="CCCCCC" w:sz="1"/>
              <w:right w:val="single" w:color="CCCCCC" w:sz="1"/>
            </w:tcBorders>
            <w:shd w:fill="FFF8DC"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3</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4</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5</w:t>
            </w:r>
          </w:p>
        </w:tc>
      </w:tr>
      <w:tr>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Building a Case Tree / Research Trail</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1</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2</w:t>
            </w:r>
          </w:p>
        </w:tc>
        <w:tc>
          <w:tcPr>
            <w:tcW w:type="dxa" w:w="872"/>
            <w:tcBorders>
              <w:top w:val="single" w:color="CCCCCC" w:sz="1"/>
              <w:left w:val="single" w:color="CCCCCC" w:sz="1"/>
              <w:bottom w:val="single" w:color="CCCCCC" w:sz="1"/>
              <w:right w:val="single" w:color="CCCCCC" w:sz="1"/>
            </w:tcBorders>
            <w:shd w:fill="FFF8DC"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3</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4</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5</w:t>
            </w:r>
          </w:p>
        </w:tc>
      </w:tr>
      <w:tr>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2D2D2D"/>
                <w:sz w:val="20"/>
                <w:szCs w:val="20"/>
              </w:rPr>
              <w:t xml:space="preserve">Bench Strength and Precedential Value Analysis</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1</w:t>
            </w:r>
          </w:p>
        </w:tc>
        <w:tc>
          <w:tcPr>
            <w:tcW w:type="dxa" w:w="872"/>
            <w:tcBorders>
              <w:top w:val="single" w:color="CCCCCC" w:sz="1"/>
              <w:left w:val="single" w:color="CCCCCC" w:sz="1"/>
              <w:bottom w:val="single" w:color="CCCCCC" w:sz="1"/>
              <w:right w:val="single" w:color="CCCCCC" w:sz="1"/>
            </w:tcBorders>
            <w:shd w:fill="FFE0E0"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2</w:t>
            </w:r>
          </w:p>
        </w:tc>
        <w:tc>
          <w:tcPr>
            <w:tcW w:type="dxa" w:w="872"/>
            <w:tcBorders>
              <w:top w:val="single" w:color="CCCCCC" w:sz="1"/>
              <w:left w:val="single" w:color="CCCCCC" w:sz="1"/>
              <w:bottom w:val="single" w:color="CCCCCC" w:sz="1"/>
              <w:right w:val="single" w:color="CCCCCC" w:sz="1"/>
            </w:tcBorders>
            <w:shd w:fill="FFF8DC"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3</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4</w:t>
            </w:r>
          </w:p>
        </w:tc>
        <w:tc>
          <w:tcPr>
            <w:tcW w:type="dxa" w:w="872"/>
            <w:tcBorders>
              <w:top w:val="single" w:color="CCCCCC" w:sz="1"/>
              <w:left w:val="single" w:color="CCCCCC" w:sz="1"/>
              <w:bottom w:val="single" w:color="CCCCCC" w:sz="1"/>
              <w:right w:val="single" w:color="CCCCCC" w:sz="1"/>
            </w:tcBorders>
            <w:shd w:fill="E8F5E9" w:val="clear"/>
            <w:tcMar>
              <w:top w:type="dxa" w:w="80"/>
              <w:left w:type="dxa" w:w="60"/>
              <w:bottom w:type="dxa" w:w="80"/>
              <w:right w:type="dxa" w:w="60"/>
            </w:tcMar>
            <w:vAlign w:val="center"/>
          </w:tcPr>
          <w:p>
            <w:pPr>
              <w:jc w:val="center"/>
            </w:pPr>
            <w:r>
              <w:rPr>
                <w:rFonts w:ascii="Arial" w:cs="Arial" w:eastAsia="Arial" w:hAnsi="Arial"/>
                <w:b/>
                <w:bCs/>
                <w:sz w:val="18"/>
                <w:szCs w:val="18"/>
              </w:rPr>
              <w:t xml:space="preserve">5</w:t>
            </w:r>
          </w:p>
        </w:tc>
      </w:tr>
    </w:tbl>
    <w:p>
      <w:pPr>
        <w:pBdr>
          <w:top w:val="single" w:color="C9A84C" w:sz="4" w:space="1"/>
        </w:pBdr>
        <w:spacing w:before="400" w:after="80"/>
        <w:jc w:val="center"/>
      </w:pPr>
      <w:r>
        <w:rPr>
          <w:rFonts w:ascii="Arial" w:cs="Arial" w:eastAsia="Arial" w:hAnsi="Arial"/>
          <w:color w:val="888888"/>
          <w:sz w:val="18"/>
          <w:szCs w:val="18"/>
        </w:rPr>
        <w:t xml:space="preserve">Prepared by Guru Legal  |  gurulegal.in  |  Your Guru For All Your Legal Needs</w:t>
      </w:r>
    </w:p>
    <w:p>
      <w:pPr>
        <w:spacing w:before="0" w:after="0"/>
        <w:jc w:val="center"/>
      </w:pPr>
      <w:r>
        <w:rPr>
          <w:rFonts w:ascii="Arial" w:cs="Arial" w:eastAsia="Arial" w:hAnsi="Arial"/>
          <w:i/>
          <w:iCs/>
          <w:color w:val="AAAAAA"/>
          <w:sz w:val="16"/>
          <w:szCs w:val="16"/>
        </w:rPr>
        <w:t xml:space="preserve">Copyright 2025 Guru Legal. Free to use for personal academic growth.</w:t>
      </w:r>
    </w:p>
    <w:sectPr>
      <w:pgSz w:w="12240" w:h="15840" w:orient="portrait"/>
      <w:pgMar w:top="720" w:right="1080" w:bottom="72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60"/>
      </w:pPr>
    </w:lvl>
  </w:abstractNum>
  <w:abstractNum w:abstractNumId="3" w15:restartNumberingAfterBreak="0">
    <w:multiLevelType w:val="hybridMultilevel"/>
    <w:lvl w:ilvl="0" w15:tentative="1">
      <w:start w:val="1"/>
      <w:numFmt w:val="decimal"/>
      <w:lvlText w:val="%1."/>
      <w:lvlJc w:val="left"/>
      <w:pPr>
        <w:ind w:left="540" w:hanging="2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2026-02-19T05:14:59.361Z</dcterms:created>
  <dcterms:modified xsi:type="dcterms:W3CDTF">2026-02-19T05:14:59.362Z</dcterms:modified>
</cp:coreProperties>
</file>

<file path=docProps/custom.xml><?xml version="1.0" encoding="utf-8"?>
<Properties xmlns="http://schemas.openxmlformats.org/officeDocument/2006/custom-properties" xmlns:vt="http://schemas.openxmlformats.org/officeDocument/2006/docPropsVTypes"/>
</file>