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hd w:fill="1A1A2E" w:val="clear"/>
        <w:spacing w:before="0" w:after="100"/>
        <w:jc w:val="center"/>
      </w:pPr>
      <w:r>
        <w:rPr>
          <w:rFonts w:ascii="Arial" w:cs="Arial" w:eastAsia="Arial" w:hAnsi="Arial"/>
          <w:b/>
          <w:bCs/>
          <w:color w:val="C9A84C"/>
          <w:sz w:val="28"/>
          <w:szCs w:val="28"/>
        </w:rPr>
        <w:t xml:space="preserve">GURU LEGAL</w:t>
      </w:r>
    </w:p>
    <w:p>
      <w:pPr>
        <w:shd w:fill="1A1A2E" w:val="clear"/>
        <w:spacing w:before="0" w:after="80"/>
        <w:jc w:val="center"/>
      </w:pPr>
      <w:r>
        <w:rPr>
          <w:rFonts w:ascii="Arial" w:cs="Arial" w:eastAsia="Arial" w:hAnsi="Arial"/>
          <w:color w:val="CCCCCC"/>
          <w:sz w:val="18"/>
          <w:szCs w:val="18"/>
        </w:rPr>
        <w:t xml:space="preserve">gurulegal.in  |  contact@gurulegal.in  |  +91 73517 71555</w:t>
      </w:r>
    </w:p>
    <w:p>
      <w:pPr>
        <w:spacing w:before="200" w:after="120"/>
        <w:jc w:val="center"/>
      </w:pPr>
      <w:r>
        <w:rPr>
          <w:rFonts w:ascii="Arial" w:cs="Arial" w:eastAsia="Arial" w:hAnsi="Arial"/>
          <w:b/>
          <w:bCs/>
          <w:color w:val="1A1A2E"/>
          <w:sz w:val="40"/>
          <w:szCs w:val="40"/>
        </w:rPr>
        <w:t xml:space="preserve">Public Speaking and Oral Advocacy Improvement Guide</w:t>
      </w:r>
    </w:p>
    <w:p>
      <w:pPr>
        <w:spacing w:before="0" w:after="80"/>
        <w:jc w:val="center"/>
      </w:pPr>
      <w:r>
        <w:rPr>
          <w:rFonts w:ascii="Arial" w:cs="Arial" w:eastAsia="Arial" w:hAnsi="Arial"/>
          <w:i/>
          <w:iCs/>
          <w:color w:val="666666"/>
          <w:sz w:val="22"/>
          <w:szCs w:val="22"/>
        </w:rPr>
        <w:t xml:space="preserve">From Nervous Speaker to Confident Advocate | Career Counselling Series</w:t>
      </w:r>
    </w:p>
    <w:p>
      <w:pPr>
        <w:pBdr>
          <w:bottom w:val="single" w:color="C9A84C" w:sz="8" w:space="1"/>
        </w:pBdr>
        <w:spacing w:before="0" w:after="300"/>
      </w:pPr>
    </w:p>
    <w:p>
      <w:pPr>
        <w:spacing w:before="0" w:after="20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Oral advocacy is not a talent -- it is a trained skill. Whether you are arguing before a moot court bench, speaking at a seminar, or appearing in an actual courtroom, this guide will help you develop the confidence, clarity, and command that judges and audiences respond to.</w:t>
      </w:r>
    </w:p>
    <w:p>
      <w:pPr>
        <w:shd w:fill="E8E0D0" w:val="clear"/>
        <w:spacing w:before="0" w:after="240"/>
      </w:pPr>
      <w:r>
        <w:rPr>
          <w:rFonts w:ascii="Arial" w:cs="Arial" w:eastAsia="Arial" w:hAnsi="Arial"/>
          <w:b/>
          <w:bCs/>
          <w:color w:val="1A1A2E"/>
          <w:sz w:val="20"/>
          <w:szCs w:val="20"/>
        </w:rPr>
        <w:t xml:space="preserve">  REMEMBER: Every great advocate was once terrified of speaking. The difference is they practised consistently. Commit to 15 minutes of speaking practice every day for 30 days.</w:t>
      </w:r>
    </w:p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PART 1 -- Foundations of Confident Public Speaking</w:t>
      </w:r>
    </w:p>
    <w:p>
      <w:pPr>
        <w:spacing w:before="240" w:after="80"/>
      </w:pPr>
      <w:r>
        <w:rPr>
          <w:rFonts w:ascii="Arial" w:cs="Arial" w:eastAsia="Arial" w:hAnsi="Arial"/>
          <w:b/>
          <w:bCs/>
          <w:color w:val="1A1A2E"/>
          <w:sz w:val="22"/>
          <w:szCs w:val="22"/>
        </w:rPr>
        <w:t xml:space="preserve">1.1 Voice and Delivery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Speak at a measured pace -- nerves make us rush. Consciously slow down by 20%.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Project your voice from the diaphragm, not the throat. Practice in a room, not just your head.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Vary your tone to emphasise key points. Monotone loses the bench.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Use strategic pauses before and after important arguments -- they signal confidence.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Record yourself speaking for 2 minutes daily and review for improvement.</w:t>
      </w:r>
    </w:p>
    <w:p>
      <w:pPr>
        <w:spacing w:before="240" w:after="80"/>
      </w:pPr>
      <w:r>
        <w:rPr>
          <w:rFonts w:ascii="Arial" w:cs="Arial" w:eastAsia="Arial" w:hAnsi="Arial"/>
          <w:b/>
          <w:bCs/>
          <w:color w:val="1A1A2E"/>
          <w:sz w:val="22"/>
          <w:szCs w:val="22"/>
        </w:rPr>
        <w:t xml:space="preserve">1.2 Body Language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Stand with feet shoulder-width apart. No swaying or pacing nervously.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Maintain eye contact with the judge or audience -- not with your notes.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Use deliberate hand gestures to emphasise points, but do not overdo it.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A formal, upright posture signals authority and preparation.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Do not cross your arms -- it reads as defensive.</w:t>
      </w:r>
    </w:p>
    <w:p>
      <w:pPr>
        <w:spacing w:before="240" w:after="80"/>
      </w:pPr>
      <w:r>
        <w:rPr>
          <w:rFonts w:ascii="Arial" w:cs="Arial" w:eastAsia="Arial" w:hAnsi="Arial"/>
          <w:b/>
          <w:bCs/>
          <w:color w:val="1A1A2E"/>
          <w:sz w:val="22"/>
          <w:szCs w:val="22"/>
        </w:rPr>
        <w:t xml:space="preserve">1.3 Managing Nervousness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Use 4-7-8 breathing before any performance: inhale 4 counts, hold 7, exhale 8.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Preparation is the best cure for nerves -- know your content deeply.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Reframe nerves as excitement. The physical sensation is identical.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Arrive early to familiarise yourself with the space and feel settled.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Visualise a successful argument or speech the night before.</w:t>
      </w:r>
    </w:p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PART 2 -- Oral Advocacy in Court and Moot Court</w:t>
      </w:r>
    </w:p>
    <w:p>
      <w:pPr>
        <w:spacing w:before="240" w:after="80"/>
      </w:pPr>
      <w:r>
        <w:rPr>
          <w:rFonts w:ascii="Arial" w:cs="Arial" w:eastAsia="Arial" w:hAnsi="Arial"/>
          <w:b/>
          <w:bCs/>
          <w:color w:val="1A1A2E"/>
          <w:sz w:val="22"/>
          <w:szCs w:val="22"/>
        </w:rPr>
        <w:t xml:space="preserve">2.1 Structuring Your Oral Arguments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Opening: State your name, whom you represent, and the issues in one clear sentence.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Roadmap: Briefly tell the bench the order and structure of your arguments upfront.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Arguments: Lead with your strongest point. Each argument: Proposition, Authority, Application.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Reserve time: Always leave 1-2 minutes for a crisp closing that restates your prayer.</w:t>
      </w:r>
    </w:p>
    <w:p>
      <w:pPr>
        <w:spacing w:before="240" w:after="80"/>
      </w:pPr>
      <w:r>
        <w:rPr>
          <w:rFonts w:ascii="Arial" w:cs="Arial" w:eastAsia="Arial" w:hAnsi="Arial"/>
          <w:b/>
          <w:bCs/>
          <w:color w:val="1A1A2E"/>
          <w:sz w:val="22"/>
          <w:szCs w:val="22"/>
        </w:rPr>
        <w:t xml:space="preserve">2.2 Handling Questions from the Bench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Never talk over a judge. Stop speaking the moment a question begins.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Listen carefully -- answer what was asked, not what you wish was asked.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If you do not know, say: My Lord, I would be grateful for a moment to confirm that point.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Turn every question into a springboard for your argument where possible.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Do not get flustered by hostile questions -- they often mean the judge is engaged.</w:t>
      </w:r>
    </w:p>
    <w:p>
      <w:pPr>
        <w:spacing w:before="240" w:after="80"/>
      </w:pPr>
      <w:r>
        <w:rPr>
          <w:rFonts w:ascii="Arial" w:cs="Arial" w:eastAsia="Arial" w:hAnsi="Arial"/>
          <w:b/>
          <w:bCs/>
          <w:color w:val="1A1A2E"/>
          <w:sz w:val="22"/>
          <w:szCs w:val="22"/>
        </w:rPr>
        <w:t xml:space="preserve">2.3 Language and Style in Court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Use formal court address: My Lord or My Lady, Learned Counsel, This Honourable Court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Cite cases as: In the case of ABC v. XYZ reported in (2020) 5 SCC 123...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Avoid unnecessary filler words: umm, basically, you know, like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Use active, assertive language: It is submitted that... not I think...</w:t>
      </w:r>
    </w:p>
    <w:p>
      <w:pPr>
        <w:pStyle w:val="ListParagraph"/>
        <w:numPr>
          <w:ilvl w:val="0"/>
          <w:numId w:val="2"/>
        </w:numPr>
        <w:spacing w:before="60" w:after="6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Concede gracefully when necessary -- it builds your credibility before the bench.</w:t>
      </w:r>
    </w:p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PART 3 -- Daily Practice Drills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600"/>
        <w:gridCol w:w="2400"/>
        <w:gridCol w:w="5360"/>
      </w:tblGrid>
      <w:tr>
        <w:trPr>
          <w:tblHeader/>
        </w:trP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Frequency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Exercise</w:t>
            </w:r>
          </w:p>
        </w:tc>
        <w:tc>
          <w:tcPr>
            <w:tcW w:type="dxa" w:w="5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A1A2E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How To Do It</w:t>
            </w:r>
          </w:p>
        </w:tc>
      </w:tr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0D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Daily (5 min)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Mirror Exercise</w:t>
            </w:r>
          </w:p>
        </w:tc>
        <w:tc>
          <w:tcPr>
            <w:tcW w:type="dxa" w:w="5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Speak on any legal topic looking at your reflection. Observe posture, eye contact, gestures.</w:t>
            </w:r>
          </w:p>
        </w:tc>
      </w:tr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Daily (5 min)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Voice Recording</w:t>
            </w:r>
          </w:p>
        </w:tc>
        <w:tc>
          <w:tcPr>
            <w:tcW w:type="dxa" w:w="5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Record yourself arguing one legal point. Replay and note pace, tone, filler words.</w:t>
            </w:r>
          </w:p>
        </w:tc>
      </w:tr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0D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3x per Week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Impromptu Speaking</w:t>
            </w:r>
          </w:p>
        </w:tc>
        <w:tc>
          <w:tcPr>
            <w:tcW w:type="dxa" w:w="5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Pick a random legal topic. Speak on it for 90 seconds without preparation.</w:t>
            </w:r>
          </w:p>
        </w:tc>
      </w:tr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Weekly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Moot Simulation</w:t>
            </w:r>
          </w:p>
        </w:tc>
        <w:tc>
          <w:tcPr>
            <w:tcW w:type="dxa" w:w="5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Argue one memorial point in front of a friend or mentor who asks hostile questions.</w:t>
            </w:r>
          </w:p>
        </w:tc>
      </w:tr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8E0D0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Weekly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Watch and Analyse</w:t>
            </w:r>
          </w:p>
        </w:tc>
        <w:tc>
          <w:tcPr>
            <w:tcW w:type="dxa" w:w="5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5F5F5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Watch a Supreme Court argument on YouTube. Note delivery, structure, bench interaction.</w:t>
            </w:r>
          </w:p>
        </w:tc>
      </w:tr>
      <w:tr>
        <w:tc>
          <w:tcPr>
            <w:tcW w:type="dxa" w:w="16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18"/>
                <w:szCs w:val="18"/>
              </w:rPr>
              <w:t xml:space="preserve">Monthly</w:t>
            </w:r>
          </w:p>
        </w:tc>
        <w:tc>
          <w:tcPr>
            <w:tcW w:type="dxa" w:w="24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1A1A2E"/>
                <w:sz w:val="20"/>
                <w:szCs w:val="20"/>
              </w:rPr>
              <w:t xml:space="preserve">Guest Speaker Critique</w:t>
            </w:r>
          </w:p>
        </w:tc>
        <w:tc>
          <w:tcPr>
            <w:tcW w:type="dxa" w:w="53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color w:val="2D2D2D"/>
                <w:sz w:val="20"/>
                <w:szCs w:val="20"/>
              </w:rPr>
              <w:t xml:space="preserve">Attend a seminar or lecture. Write 5 specific observations on the speaker's technique.</w:t>
            </w:r>
          </w:p>
        </w:tc>
      </w:tr>
    </w:tbl>
    <w:p>
      <w:pPr>
        <w:shd w:fill="1A1A2E" w:val="clear"/>
        <w:spacing w:before="300" w:after="120"/>
      </w:pPr>
      <w:r>
        <w:rPr>
          <w:rFonts w:ascii="Arial" w:cs="Arial" w:eastAsia="Arial" w:hAnsi="Arial"/>
          <w:b/>
          <w:bCs/>
          <w:color w:val="FFFFFF"/>
          <w:sz w:val="26"/>
          <w:szCs w:val="26"/>
        </w:rPr>
        <w:t xml:space="preserve">  PART 4 -- Self-Assessment After Every Performance</w:t>
      </w:r>
    </w:p>
    <w:p>
      <w:pPr>
        <w:spacing w:before="60" w:after="8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After each moot, seminar, or classroom presentation, fill in this brief reflection:</w:t>
      </w:r>
    </w:p>
    <w:p>
      <w:pPr>
        <w:spacing w:before="120" w:after="80"/>
      </w:pPr>
      <w:r>
        <w:rPr>
          <w:rFonts w:ascii="Arial" w:cs="Arial" w:eastAsia="Arial" w:hAnsi="Arial"/>
          <w:color w:val="2D2D2D"/>
          <w:sz w:val="20"/>
          <w:szCs w:val="20"/>
        </w:rPr>
        <w:t xml:space="preserve">Date / Event: _______________________________________________</w:t>
      </w:r>
    </w:p>
    <w:p>
      <w:pPr>
        <w:shd w:fill="F5F5F5" w:val="clear"/>
        <w:spacing w:before="80" w:after="40"/>
      </w:pPr>
      <w:r>
        <w:rPr>
          <w:rFonts w:ascii="Arial" w:cs="Arial" w:eastAsia="Arial" w:hAnsi="Arial"/>
          <w:b/>
          <w:bCs/>
          <w:color w:val="1A1A2E"/>
          <w:sz w:val="20"/>
          <w:szCs w:val="20"/>
        </w:rPr>
        <w:t xml:space="preserve">  What went well? (Be specific -- not just it was okay)</w:t>
      </w:r>
    </w:p>
    <w:p>
      <w:pPr>
        <w:pBdr>
          <w:bottom w:val="single" w:color="AAAAAA" w:sz="2" w:space="1"/>
        </w:pBdr>
        <w:spacing w:before="200" w:after="100"/>
      </w:pPr>
    </w:p>
    <w:p>
      <w:pPr>
        <w:shd w:fill="F5F5F5" w:val="clear"/>
        <w:spacing w:before="80" w:after="40"/>
      </w:pPr>
      <w:r>
        <w:rPr>
          <w:rFonts w:ascii="Arial" w:cs="Arial" w:eastAsia="Arial" w:hAnsi="Arial"/>
          <w:b/>
          <w:bCs/>
          <w:color w:val="1A1A2E"/>
          <w:sz w:val="20"/>
          <w:szCs w:val="20"/>
        </w:rPr>
        <w:t xml:space="preserve">  What did the bench or audience respond positively to?</w:t>
      </w:r>
    </w:p>
    <w:p>
      <w:pPr>
        <w:pBdr>
          <w:bottom w:val="single" w:color="AAAAAA" w:sz="2" w:space="1"/>
        </w:pBdr>
        <w:spacing w:before="200" w:after="100"/>
      </w:pPr>
    </w:p>
    <w:p>
      <w:pPr>
        <w:shd w:fill="F5F5F5" w:val="clear"/>
        <w:spacing w:before="80" w:after="40"/>
      </w:pPr>
      <w:r>
        <w:rPr>
          <w:rFonts w:ascii="Arial" w:cs="Arial" w:eastAsia="Arial" w:hAnsi="Arial"/>
          <w:b/>
          <w:bCs/>
          <w:color w:val="1A1A2E"/>
          <w:sz w:val="20"/>
          <w:szCs w:val="20"/>
        </w:rPr>
        <w:t xml:space="preserve">  What would you change next time?</w:t>
      </w:r>
    </w:p>
    <w:p>
      <w:pPr>
        <w:pBdr>
          <w:bottom w:val="single" w:color="AAAAAA" w:sz="2" w:space="1"/>
        </w:pBdr>
        <w:spacing w:before="200" w:after="100"/>
      </w:pPr>
    </w:p>
    <w:p>
      <w:pPr>
        <w:shd w:fill="F5F5F5" w:val="clear"/>
        <w:spacing w:before="80" w:after="40"/>
      </w:pPr>
      <w:r>
        <w:rPr>
          <w:rFonts w:ascii="Arial" w:cs="Arial" w:eastAsia="Arial" w:hAnsi="Arial"/>
          <w:b/>
          <w:bCs/>
          <w:color w:val="1A1A2E"/>
          <w:sz w:val="20"/>
          <w:szCs w:val="20"/>
        </w:rPr>
        <w:t xml:space="preserve">  One filler word or habit you noticed and will eliminate</w:t>
      </w:r>
    </w:p>
    <w:p>
      <w:pPr>
        <w:pBdr>
          <w:bottom w:val="single" w:color="AAAAAA" w:sz="2" w:space="1"/>
        </w:pBdr>
        <w:spacing w:before="200" w:after="100"/>
      </w:pPr>
    </w:p>
    <w:p>
      <w:pPr>
        <w:shd w:fill="F5F5F5" w:val="clear"/>
        <w:spacing w:before="80" w:after="40"/>
      </w:pPr>
      <w:r>
        <w:rPr>
          <w:rFonts w:ascii="Arial" w:cs="Arial" w:eastAsia="Arial" w:hAnsi="Arial"/>
          <w:b/>
          <w:bCs/>
          <w:color w:val="1A1A2E"/>
          <w:sz w:val="20"/>
          <w:szCs w:val="20"/>
        </w:rPr>
        <w:t xml:space="preserve">  Rating -- Pace ___ | Tone ___ | Eye Contact ___ | Argument Structure ___ (out of 5)</w:t>
      </w:r>
    </w:p>
    <w:p>
      <w:pPr>
        <w:pBdr>
          <w:bottom w:val="single" w:color="AAAAAA" w:sz="2" w:space="1"/>
        </w:pBdr>
        <w:spacing w:before="200" w:after="100"/>
      </w:pPr>
    </w:p>
    <w:p>
      <w:pPr>
        <w:pBdr>
          <w:top w:val="single" w:color="C9A84C" w:sz="4" w:space="1"/>
        </w:pBdr>
        <w:spacing w:before="400" w:after="80"/>
        <w:jc w:val="center"/>
      </w:pPr>
      <w:r>
        <w:rPr>
          <w:rFonts w:ascii="Arial" w:cs="Arial" w:eastAsia="Arial" w:hAnsi="Arial"/>
          <w:color w:val="888888"/>
          <w:sz w:val="18"/>
          <w:szCs w:val="18"/>
        </w:rPr>
        <w:t xml:space="preserve">Prepared by Guru Legal  |  gurulegal.in  |  Your Guru For All Your Legal Needs</w:t>
      </w:r>
    </w:p>
    <w:p>
      <w:pPr>
        <w:spacing w:before="0" w:after="0"/>
        <w:jc w:val="center"/>
      </w:pPr>
      <w:r>
        <w:rPr>
          <w:rFonts w:ascii="Arial" w:cs="Arial" w:eastAsia="Arial" w:hAnsi="Arial"/>
          <w:i/>
          <w:iCs/>
          <w:color w:val="AAAAAA"/>
          <w:sz w:val="16"/>
          <w:szCs w:val="16"/>
        </w:rPr>
        <w:t xml:space="preserve">Copyright 2025 Guru Legal. Free to use for personal academic growth.</w:t>
      </w:r>
    </w:p>
    <w:sectPr>
      <w:pgSz w:w="12240" w:h="15840" w:orient="portrait"/>
      <w:pgMar w:top="720" w:right="1080" w:bottom="72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540" w:hanging="2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540" w:hanging="2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2026-02-19T05:14:59.384Z</dcterms:created>
  <dcterms:modified xsi:type="dcterms:W3CDTF">2026-02-19T05:14:59.384Z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